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0E" w:rsidRDefault="004B7E0E" w:rsidP="00C51C82"/>
    <w:p w:rsidR="00D809AA" w:rsidRPr="000F4480" w:rsidRDefault="000D798B" w:rsidP="00D809AA">
      <w:pPr>
        <w:pStyle w:val="Heading1"/>
        <w:rPr>
          <w:rFonts w:ascii="Arial" w:hAnsi="Arial" w:cs="Arial"/>
          <w:b/>
          <w:color w:val="auto"/>
        </w:rPr>
      </w:pPr>
      <w:bookmarkStart w:id="0" w:name="_Pupil_premium_report"/>
      <w:bookmarkEnd w:id="0"/>
      <w:r w:rsidRPr="000F4480">
        <w:rPr>
          <w:rFonts w:ascii="Arial" w:hAnsi="Arial" w:cs="Arial"/>
          <w:b/>
          <w:color w:val="auto"/>
        </w:rPr>
        <w:t>Coronavirus (COVID-19): catch-up funding plan</w:t>
      </w:r>
    </w:p>
    <w:p w:rsidR="0035665F" w:rsidRPr="00AE1BC4" w:rsidRDefault="0035665F" w:rsidP="00AE1BC4">
      <w:pPr>
        <w:spacing w:after="0"/>
        <w:jc w:val="both"/>
        <w:rPr>
          <w:rFonts w:ascii="Arial" w:hAnsi="Arial" w:cs="Arial"/>
        </w:rPr>
      </w:pPr>
    </w:p>
    <w:p w:rsidR="00E61444" w:rsidRDefault="0000090C" w:rsidP="00AE1BC4">
      <w:pPr>
        <w:jc w:val="both"/>
        <w:rPr>
          <w:rFonts w:ascii="Arial" w:hAnsi="Arial" w:cs="Arial"/>
          <w:shd w:val="clear" w:color="auto" w:fill="FFFFFF"/>
        </w:rPr>
      </w:pPr>
      <w:r w:rsidRPr="00A7588B">
        <w:rPr>
          <w:rFonts w:ascii="Arial" w:hAnsi="Arial" w:cs="Arial"/>
        </w:rPr>
        <w:t xml:space="preserve">The government is providing schools with £650 million of universal catch-up premium funding for the 2020/2021 academic year. The aim of the funding is to help pupils catch up on education they have missed due to the coronavirus (COVID-19) pandemic. Schools should use this funding for specific activities to support their pupils to </w:t>
      </w:r>
      <w:r w:rsidR="00196A53" w:rsidRPr="00A7588B">
        <w:rPr>
          <w:rFonts w:ascii="Arial" w:hAnsi="Arial" w:cs="Arial"/>
        </w:rPr>
        <w:t xml:space="preserve">make </w:t>
      </w:r>
      <w:r w:rsidRPr="00A7588B">
        <w:rPr>
          <w:rFonts w:ascii="Arial" w:hAnsi="Arial" w:cs="Arial"/>
        </w:rPr>
        <w:t>up for lost teaching over the previous months</w:t>
      </w:r>
      <w:r w:rsidR="008A0C76" w:rsidRPr="00A7588B">
        <w:rPr>
          <w:rFonts w:ascii="Arial" w:hAnsi="Arial" w:cs="Arial"/>
        </w:rPr>
        <w:t>.</w:t>
      </w:r>
      <w:r w:rsidR="008C08A1" w:rsidRPr="00A7588B">
        <w:rPr>
          <w:rFonts w:ascii="Arial" w:hAnsi="Arial" w:cs="Arial"/>
          <w:shd w:val="clear" w:color="auto" w:fill="FFFFFF"/>
        </w:rPr>
        <w:t>While funding has been allocated on a per</w:t>
      </w:r>
      <w:r w:rsidR="00B2760E" w:rsidRPr="00A7588B">
        <w:rPr>
          <w:rFonts w:ascii="Arial" w:hAnsi="Arial" w:cs="Arial"/>
          <w:shd w:val="clear" w:color="auto" w:fill="FFFFFF"/>
        </w:rPr>
        <w:t>-</w:t>
      </w:r>
      <w:r w:rsidR="008C08A1" w:rsidRPr="00A7588B">
        <w:rPr>
          <w:rFonts w:ascii="Arial" w:hAnsi="Arial" w:cs="Arial"/>
          <w:shd w:val="clear" w:color="auto" w:fill="FFFFFF"/>
        </w:rPr>
        <w:t>pupil or per</w:t>
      </w:r>
      <w:r w:rsidR="00B2760E" w:rsidRPr="00A7588B">
        <w:rPr>
          <w:rFonts w:ascii="Arial" w:hAnsi="Arial" w:cs="Arial"/>
          <w:shd w:val="clear" w:color="auto" w:fill="FFFFFF"/>
        </w:rPr>
        <w:t>-</w:t>
      </w:r>
      <w:r w:rsidR="008C08A1" w:rsidRPr="00A7588B">
        <w:rPr>
          <w:rFonts w:ascii="Arial" w:hAnsi="Arial" w:cs="Arial"/>
          <w:shd w:val="clear" w:color="auto" w:fill="FFFFFF"/>
        </w:rPr>
        <w:t>place basis, schools should use the amount available to them as a single total from which to prioritise support for pupils according to their needs. Schools do not need to spend the funds in the financial year beginning 1 April 2020, and may carry some or all catch-up premium funds forward to future financial years if they wish.</w:t>
      </w:r>
    </w:p>
    <w:p w:rsidR="00615243" w:rsidRDefault="00E61444" w:rsidP="00AE1BC4">
      <w:pPr>
        <w:jc w:val="both"/>
        <w:rPr>
          <w:rFonts w:ascii="Arial" w:hAnsi="Arial" w:cs="Arial"/>
        </w:rPr>
      </w:pPr>
      <w:r>
        <w:rPr>
          <w:rFonts w:ascii="Arial" w:hAnsi="Arial" w:cs="Arial"/>
        </w:rPr>
        <w:t xml:space="preserve"> </w:t>
      </w:r>
      <w:r w:rsidR="00615243">
        <w:rPr>
          <w:rFonts w:ascii="Arial" w:hAnsi="Arial" w:cs="Arial"/>
        </w:rPr>
        <w:t xml:space="preserve">Mainstream schools will receive £80 per pupil from reception to Year 11 inclusive, and special, AP and hospital schools will receive £240 for each place. This funding will be received in three instalments, the first in Autumn 2020, the second in early 2021 and the third in the </w:t>
      </w:r>
      <w:r w:rsidR="00211E98">
        <w:rPr>
          <w:rFonts w:ascii="Arial" w:hAnsi="Arial" w:cs="Arial"/>
        </w:rPr>
        <w:t xml:space="preserve">2021 </w:t>
      </w:r>
      <w:r w:rsidR="00615243">
        <w:rPr>
          <w:rFonts w:ascii="Arial" w:hAnsi="Arial" w:cs="Arial"/>
        </w:rPr>
        <w:t xml:space="preserve">Summer term. School leaders must be able to show that the funding is being used for its intended purposes, and governing boards are advised to scrutinise </w:t>
      </w:r>
      <w:r w:rsidR="00211E98">
        <w:rPr>
          <w:rFonts w:ascii="Arial" w:hAnsi="Arial" w:cs="Arial"/>
        </w:rPr>
        <w:t xml:space="preserve">their </w:t>
      </w:r>
      <w:r w:rsidR="00615243">
        <w:rPr>
          <w:rFonts w:ascii="Arial" w:hAnsi="Arial" w:cs="Arial"/>
        </w:rPr>
        <w:t xml:space="preserve">school’s plans for its use. The use of the funding will also be inspected by Ofsted when it resumes routine inspections. More information surrounding the catch-up premium can be found </w:t>
      </w:r>
      <w:hyperlink r:id="rId8" w:history="1">
        <w:r w:rsidR="00615243" w:rsidRPr="00615243">
          <w:rPr>
            <w:rStyle w:val="Hyperlink"/>
            <w:rFonts w:ascii="Arial" w:hAnsi="Arial" w:cs="Arial"/>
          </w:rPr>
          <w:t>here</w:t>
        </w:r>
      </w:hyperlink>
      <w:r w:rsidR="00615243">
        <w:rPr>
          <w:rFonts w:ascii="Arial" w:hAnsi="Arial" w:cs="Arial"/>
        </w:rPr>
        <w:t>.</w:t>
      </w:r>
    </w:p>
    <w:p w:rsidR="00E27E58" w:rsidRPr="000C1D1C" w:rsidRDefault="00AE6678" w:rsidP="00AE1BC4">
      <w:pPr>
        <w:jc w:val="both"/>
      </w:pPr>
      <w:r w:rsidRPr="00D809AA">
        <w:br w:type="page"/>
      </w:r>
    </w:p>
    <w:p w:rsidR="0049725A" w:rsidRPr="0049725A" w:rsidRDefault="00B81871" w:rsidP="00535498">
      <w:pPr>
        <w:rPr>
          <w:rFonts w:ascii="Arial" w:hAnsi="Arial" w:cs="Arial"/>
          <w:sz w:val="24"/>
          <w:szCs w:val="24"/>
        </w:rPr>
      </w:pPr>
      <w:bookmarkStart w:id="1" w:name="PPR"/>
      <w:proofErr w:type="spellStart"/>
      <w:r w:rsidRPr="0049725A">
        <w:rPr>
          <w:rFonts w:ascii="Arial" w:hAnsi="Arial" w:cs="Arial"/>
          <w:sz w:val="24"/>
          <w:szCs w:val="24"/>
        </w:rPr>
        <w:lastRenderedPageBreak/>
        <w:t>Coronavirus</w:t>
      </w:r>
      <w:proofErr w:type="spellEnd"/>
      <w:r w:rsidRPr="0049725A">
        <w:rPr>
          <w:rFonts w:ascii="Arial" w:hAnsi="Arial" w:cs="Arial"/>
          <w:sz w:val="24"/>
          <w:szCs w:val="24"/>
        </w:rPr>
        <w:t xml:space="preserve"> (COVID-19) catch-up premium </w:t>
      </w:r>
    </w:p>
    <w:p w:rsidR="0049725A" w:rsidRPr="0049725A" w:rsidRDefault="0049725A" w:rsidP="00535498">
      <w:pPr>
        <w:rPr>
          <w:rFonts w:ascii="Arial" w:hAnsi="Arial" w:cs="Arial"/>
          <w:sz w:val="24"/>
          <w:szCs w:val="24"/>
        </w:rPr>
      </w:pPr>
    </w:p>
    <w:p w:rsidR="0049725A" w:rsidRPr="0049725A" w:rsidRDefault="0049725A" w:rsidP="00535498">
      <w:pPr>
        <w:rPr>
          <w:rFonts w:ascii="Arial" w:hAnsi="Arial" w:cs="Arial"/>
          <w:sz w:val="24"/>
          <w:szCs w:val="24"/>
        </w:rPr>
      </w:pPr>
    </w:p>
    <w:p w:rsidR="0049725A" w:rsidRDefault="00B81871" w:rsidP="00535498">
      <w:pPr>
        <w:rPr>
          <w:rFonts w:ascii="Arial" w:hAnsi="Arial" w:cs="Arial"/>
          <w:sz w:val="24"/>
          <w:szCs w:val="24"/>
        </w:rPr>
      </w:pPr>
      <w:r w:rsidRPr="0049725A">
        <w:rPr>
          <w:rFonts w:ascii="Arial" w:hAnsi="Arial" w:cs="Arial"/>
          <w:sz w:val="24"/>
          <w:szCs w:val="24"/>
        </w:rPr>
        <w:t xml:space="preserve">The government COVID-19 catch-up premium has been established to mitigate the effects of the unique disruption caused by </w:t>
      </w:r>
      <w:proofErr w:type="spellStart"/>
      <w:r w:rsidRPr="0049725A">
        <w:rPr>
          <w:rFonts w:ascii="Arial" w:hAnsi="Arial" w:cs="Arial"/>
          <w:sz w:val="24"/>
          <w:szCs w:val="24"/>
        </w:rPr>
        <w:t>coronavirus</w:t>
      </w:r>
      <w:proofErr w:type="spellEnd"/>
      <w:r w:rsidRPr="0049725A">
        <w:rPr>
          <w:rFonts w:ascii="Arial" w:hAnsi="Arial" w:cs="Arial"/>
          <w:sz w:val="24"/>
          <w:szCs w:val="24"/>
        </w:rPr>
        <w:t xml:space="preserve">. </w:t>
      </w:r>
    </w:p>
    <w:p w:rsidR="0049725A" w:rsidRDefault="00B81871" w:rsidP="00535498">
      <w:pPr>
        <w:rPr>
          <w:rFonts w:ascii="Arial" w:hAnsi="Arial" w:cs="Arial"/>
          <w:sz w:val="24"/>
          <w:szCs w:val="24"/>
        </w:rPr>
      </w:pPr>
      <w:r w:rsidRPr="0049725A">
        <w:rPr>
          <w:rFonts w:ascii="Arial" w:hAnsi="Arial" w:cs="Arial"/>
          <w:sz w:val="24"/>
          <w:szCs w:val="24"/>
        </w:rPr>
        <w:t xml:space="preserve">The grant will only be available for the 2020-2021 academic </w:t>
      </w:r>
      <w:proofErr w:type="gramStart"/>
      <w:r w:rsidRPr="0049725A">
        <w:rPr>
          <w:rFonts w:ascii="Arial" w:hAnsi="Arial" w:cs="Arial"/>
          <w:sz w:val="24"/>
          <w:szCs w:val="24"/>
        </w:rPr>
        <w:t>year</w:t>
      </w:r>
      <w:proofErr w:type="gramEnd"/>
      <w:r w:rsidRPr="0049725A">
        <w:rPr>
          <w:rFonts w:ascii="Arial" w:hAnsi="Arial" w:cs="Arial"/>
          <w:sz w:val="24"/>
          <w:szCs w:val="24"/>
        </w:rPr>
        <w:t>. Schools should use this funding for specific activities to support pupils to catch up for lost teaching time over the previous months.</w:t>
      </w:r>
    </w:p>
    <w:p w:rsidR="0049725A" w:rsidRDefault="00B81871" w:rsidP="00535498">
      <w:pPr>
        <w:rPr>
          <w:rFonts w:ascii="Arial" w:hAnsi="Arial" w:cs="Arial"/>
          <w:sz w:val="24"/>
          <w:szCs w:val="24"/>
        </w:rPr>
      </w:pPr>
      <w:r w:rsidRPr="0049725A">
        <w:rPr>
          <w:rFonts w:ascii="Arial" w:hAnsi="Arial" w:cs="Arial"/>
          <w:sz w:val="24"/>
          <w:szCs w:val="24"/>
        </w:rPr>
        <w:t xml:space="preserve"> To support schools to make the best use of the funding, the EEF has published a support guide: </w:t>
      </w:r>
      <w:hyperlink r:id="rId9" w:history="1">
        <w:r w:rsidR="0049725A" w:rsidRPr="0018539F">
          <w:rPr>
            <w:rStyle w:val="Hyperlink"/>
            <w:rFonts w:ascii="Arial" w:hAnsi="Arial" w:cs="Arial"/>
            <w:sz w:val="20"/>
            <w:szCs w:val="20"/>
          </w:rPr>
          <w:t>https://educationendowmentfoundation.org.uk/covid-19-resources/covid-19-support-guide-for-schools/#nav-covid-19-supportguide-for-schools1</w:t>
        </w:r>
      </w:hyperlink>
      <w:r w:rsidRPr="0049725A">
        <w:rPr>
          <w:rFonts w:ascii="Arial" w:hAnsi="Arial" w:cs="Arial"/>
          <w:sz w:val="24"/>
          <w:szCs w:val="24"/>
        </w:rPr>
        <w:t xml:space="preserve"> </w:t>
      </w:r>
    </w:p>
    <w:p w:rsidR="0049725A" w:rsidRDefault="00B81871" w:rsidP="00535498">
      <w:pPr>
        <w:rPr>
          <w:rFonts w:ascii="Arial" w:hAnsi="Arial" w:cs="Arial"/>
          <w:sz w:val="24"/>
          <w:szCs w:val="24"/>
        </w:rPr>
      </w:pPr>
      <w:r w:rsidRPr="0049725A">
        <w:rPr>
          <w:rFonts w:ascii="Arial" w:hAnsi="Arial" w:cs="Arial"/>
          <w:sz w:val="24"/>
          <w:szCs w:val="24"/>
        </w:rPr>
        <w:t xml:space="preserve">A summary of their best practice is as follows: </w:t>
      </w:r>
    </w:p>
    <w:p w:rsidR="0049725A" w:rsidRDefault="0049725A" w:rsidP="00535498">
      <w:pPr>
        <w:rPr>
          <w:rFonts w:ascii="Arial" w:hAnsi="Arial" w:cs="Arial"/>
          <w:sz w:val="24"/>
          <w:szCs w:val="24"/>
        </w:rPr>
      </w:pPr>
    </w:p>
    <w:tbl>
      <w:tblPr>
        <w:tblStyle w:val="TableGrid"/>
        <w:tblW w:w="0" w:type="auto"/>
        <w:tblLook w:val="04A0"/>
      </w:tblPr>
      <w:tblGrid>
        <w:gridCol w:w="7087"/>
        <w:gridCol w:w="7087"/>
      </w:tblGrid>
      <w:tr w:rsidR="0049725A" w:rsidTr="0049725A">
        <w:tc>
          <w:tcPr>
            <w:tcW w:w="7087" w:type="dxa"/>
          </w:tcPr>
          <w:p w:rsidR="0049725A" w:rsidRPr="0049725A" w:rsidRDefault="0049725A" w:rsidP="00535498">
            <w:pPr>
              <w:rPr>
                <w:rFonts w:ascii="Arial" w:hAnsi="Arial" w:cs="Arial"/>
                <w:b/>
                <w:sz w:val="24"/>
                <w:szCs w:val="24"/>
              </w:rPr>
            </w:pPr>
            <w:r w:rsidRPr="0049725A">
              <w:rPr>
                <w:rFonts w:ascii="Arial" w:hAnsi="Arial" w:cs="Arial"/>
                <w:b/>
                <w:sz w:val="24"/>
                <w:szCs w:val="24"/>
              </w:rPr>
              <w:t>Overall strategy area</w:t>
            </w:r>
          </w:p>
        </w:tc>
        <w:tc>
          <w:tcPr>
            <w:tcW w:w="7087" w:type="dxa"/>
          </w:tcPr>
          <w:p w:rsidR="0049725A" w:rsidRPr="0049725A" w:rsidRDefault="0049725A" w:rsidP="0049725A">
            <w:pPr>
              <w:rPr>
                <w:rFonts w:ascii="Arial" w:hAnsi="Arial" w:cs="Arial"/>
                <w:b/>
                <w:sz w:val="24"/>
                <w:szCs w:val="24"/>
              </w:rPr>
            </w:pPr>
            <w:r w:rsidRPr="0049725A">
              <w:rPr>
                <w:rFonts w:ascii="Arial" w:hAnsi="Arial" w:cs="Arial"/>
                <w:b/>
                <w:sz w:val="24"/>
                <w:szCs w:val="24"/>
              </w:rPr>
              <w:t>Specific strategies</w:t>
            </w:r>
          </w:p>
          <w:p w:rsidR="0049725A" w:rsidRPr="0049725A" w:rsidRDefault="0049725A" w:rsidP="00535498">
            <w:pPr>
              <w:rPr>
                <w:rFonts w:ascii="Arial" w:hAnsi="Arial" w:cs="Arial"/>
                <w:b/>
                <w:sz w:val="24"/>
                <w:szCs w:val="24"/>
              </w:rPr>
            </w:pPr>
          </w:p>
        </w:tc>
      </w:tr>
      <w:tr w:rsidR="0049725A" w:rsidTr="0049725A">
        <w:tc>
          <w:tcPr>
            <w:tcW w:w="7087" w:type="dxa"/>
          </w:tcPr>
          <w:p w:rsidR="0049725A" w:rsidRPr="0049725A" w:rsidRDefault="0049725A" w:rsidP="0049725A">
            <w:pPr>
              <w:rPr>
                <w:rFonts w:ascii="Arial" w:hAnsi="Arial" w:cs="Arial"/>
                <w:sz w:val="24"/>
                <w:szCs w:val="24"/>
              </w:rPr>
            </w:pPr>
            <w:r w:rsidRPr="0049725A">
              <w:rPr>
                <w:rFonts w:ascii="Arial" w:hAnsi="Arial" w:cs="Arial"/>
                <w:sz w:val="24"/>
                <w:szCs w:val="24"/>
              </w:rPr>
              <w:t xml:space="preserve">Teaching and whole-school strategies </w:t>
            </w:r>
          </w:p>
          <w:p w:rsidR="0049725A" w:rsidRPr="0049725A" w:rsidRDefault="0049725A" w:rsidP="0049725A">
            <w:pPr>
              <w:rPr>
                <w:rFonts w:ascii="Arial" w:hAnsi="Arial" w:cs="Arial"/>
                <w:sz w:val="24"/>
                <w:szCs w:val="24"/>
              </w:rPr>
            </w:pPr>
          </w:p>
        </w:tc>
        <w:tc>
          <w:tcPr>
            <w:tcW w:w="7087" w:type="dxa"/>
          </w:tcPr>
          <w:p w:rsidR="0049725A" w:rsidRDefault="0049725A" w:rsidP="00535498">
            <w:r>
              <w:t>Supporting great teaching</w:t>
            </w:r>
          </w:p>
          <w:p w:rsidR="0049725A" w:rsidRDefault="0049725A" w:rsidP="00535498">
            <w:r>
              <w:t xml:space="preserve"> Pupil assessment and feedback </w:t>
            </w:r>
          </w:p>
          <w:p w:rsidR="0049725A" w:rsidRDefault="0049725A" w:rsidP="00535498">
            <w:pPr>
              <w:rPr>
                <w:rFonts w:ascii="Arial" w:hAnsi="Arial" w:cs="Arial"/>
                <w:sz w:val="24"/>
                <w:szCs w:val="24"/>
              </w:rPr>
            </w:pPr>
            <w:r>
              <w:t>Transition support</w:t>
            </w:r>
          </w:p>
        </w:tc>
      </w:tr>
      <w:tr w:rsidR="0049725A" w:rsidTr="0049725A">
        <w:tc>
          <w:tcPr>
            <w:tcW w:w="7087" w:type="dxa"/>
          </w:tcPr>
          <w:p w:rsidR="0049725A" w:rsidRPr="0049725A" w:rsidRDefault="0049725A" w:rsidP="0049725A">
            <w:pPr>
              <w:rPr>
                <w:rFonts w:ascii="Arial" w:hAnsi="Arial" w:cs="Arial"/>
                <w:sz w:val="24"/>
                <w:szCs w:val="24"/>
              </w:rPr>
            </w:pPr>
            <w:r w:rsidRPr="0049725A">
              <w:rPr>
                <w:rFonts w:ascii="Arial" w:hAnsi="Arial" w:cs="Arial"/>
                <w:sz w:val="24"/>
                <w:szCs w:val="24"/>
              </w:rPr>
              <w:t>Targeted approaches</w:t>
            </w:r>
          </w:p>
        </w:tc>
        <w:tc>
          <w:tcPr>
            <w:tcW w:w="7087" w:type="dxa"/>
          </w:tcPr>
          <w:p w:rsidR="0049725A" w:rsidRDefault="0049725A" w:rsidP="00535498">
            <w:r>
              <w:t xml:space="preserve">One to one and small group tuition </w:t>
            </w:r>
          </w:p>
          <w:p w:rsidR="0049725A" w:rsidRDefault="0049725A" w:rsidP="00535498">
            <w:r>
              <w:t xml:space="preserve">Intervention programmes </w:t>
            </w:r>
          </w:p>
          <w:p w:rsidR="0049725A" w:rsidRDefault="0049725A" w:rsidP="00535498">
            <w:pPr>
              <w:rPr>
                <w:rFonts w:ascii="Arial" w:hAnsi="Arial" w:cs="Arial"/>
                <w:sz w:val="24"/>
                <w:szCs w:val="24"/>
              </w:rPr>
            </w:pPr>
            <w:r>
              <w:t>Extended school time</w:t>
            </w:r>
          </w:p>
        </w:tc>
      </w:tr>
      <w:tr w:rsidR="0049725A" w:rsidTr="0049725A">
        <w:tc>
          <w:tcPr>
            <w:tcW w:w="7087" w:type="dxa"/>
          </w:tcPr>
          <w:p w:rsidR="0049725A" w:rsidRPr="0049725A" w:rsidRDefault="0049725A" w:rsidP="0049725A">
            <w:pPr>
              <w:rPr>
                <w:rFonts w:ascii="Arial" w:hAnsi="Arial" w:cs="Arial"/>
                <w:sz w:val="24"/>
                <w:szCs w:val="24"/>
              </w:rPr>
            </w:pPr>
            <w:r w:rsidRPr="0049725A">
              <w:rPr>
                <w:rFonts w:ascii="Arial" w:hAnsi="Arial" w:cs="Arial"/>
                <w:sz w:val="24"/>
                <w:szCs w:val="24"/>
              </w:rPr>
              <w:t>Wider strategies</w:t>
            </w:r>
          </w:p>
        </w:tc>
        <w:tc>
          <w:tcPr>
            <w:tcW w:w="7087" w:type="dxa"/>
          </w:tcPr>
          <w:p w:rsidR="0049725A" w:rsidRDefault="0049725A" w:rsidP="00535498">
            <w:r>
              <w:t xml:space="preserve">Supporting parents and carers </w:t>
            </w:r>
          </w:p>
          <w:p w:rsidR="0049725A" w:rsidRDefault="0049725A" w:rsidP="00535498">
            <w:r>
              <w:t xml:space="preserve">Access to technology </w:t>
            </w:r>
          </w:p>
          <w:p w:rsidR="0049725A" w:rsidRDefault="0049725A" w:rsidP="00535498">
            <w:pPr>
              <w:rPr>
                <w:rFonts w:ascii="Arial" w:hAnsi="Arial" w:cs="Arial"/>
                <w:sz w:val="24"/>
                <w:szCs w:val="24"/>
              </w:rPr>
            </w:pPr>
            <w:r>
              <w:t>Summer support</w:t>
            </w:r>
          </w:p>
        </w:tc>
      </w:tr>
    </w:tbl>
    <w:p w:rsidR="0049725A" w:rsidRDefault="0049725A" w:rsidP="00535498">
      <w:pPr>
        <w:rPr>
          <w:rFonts w:ascii="Arial" w:hAnsi="Arial" w:cs="Arial"/>
          <w:sz w:val="24"/>
          <w:szCs w:val="24"/>
        </w:rPr>
      </w:pPr>
    </w:p>
    <w:p w:rsidR="00B81871" w:rsidRPr="0049725A" w:rsidRDefault="0049725A" w:rsidP="00535498">
      <w:pPr>
        <w:rPr>
          <w:rFonts w:ascii="Arial" w:hAnsi="Arial" w:cs="Arial"/>
          <w:sz w:val="24"/>
          <w:szCs w:val="24"/>
        </w:rPr>
      </w:pPr>
      <w:r>
        <w:rPr>
          <w:rFonts w:ascii="Arial" w:hAnsi="Arial" w:cs="Arial"/>
          <w:sz w:val="24"/>
          <w:szCs w:val="24"/>
        </w:rPr>
        <w:t>.</w:t>
      </w:r>
    </w:p>
    <w:p w:rsidR="00B81871" w:rsidRPr="0049725A" w:rsidRDefault="00B81871">
      <w:pPr>
        <w:rPr>
          <w:rFonts w:ascii="Arial" w:hAnsi="Arial" w:cs="Arial"/>
          <w:sz w:val="24"/>
          <w:szCs w:val="24"/>
        </w:rPr>
      </w:pPr>
      <w:r w:rsidRPr="0049725A">
        <w:rPr>
          <w:rFonts w:ascii="Arial" w:hAnsi="Arial" w:cs="Arial"/>
          <w:sz w:val="24"/>
          <w:szCs w:val="24"/>
        </w:rPr>
        <w:br w:type="page"/>
      </w:r>
    </w:p>
    <w:p w:rsidR="00535498" w:rsidRDefault="00535498" w:rsidP="00535498"/>
    <w:p w:rsidR="00535498" w:rsidRPr="000F4480" w:rsidRDefault="00535498" w:rsidP="00535498">
      <w:pPr>
        <w:pStyle w:val="Heading1"/>
        <w:rPr>
          <w:rFonts w:ascii="Arial" w:hAnsi="Arial" w:cs="Arial"/>
          <w:b/>
          <w:color w:val="auto"/>
        </w:rPr>
      </w:pPr>
      <w:r w:rsidRPr="000F4480">
        <w:rPr>
          <w:rFonts w:ascii="Arial" w:hAnsi="Arial" w:cs="Arial"/>
          <w:b/>
          <w:color w:val="auto"/>
        </w:rPr>
        <w:t>Coronavirus (COVID-19): catch-up funding plan</w:t>
      </w:r>
      <w:r w:rsidR="0049725A">
        <w:rPr>
          <w:rFonts w:ascii="Arial" w:hAnsi="Arial" w:cs="Arial"/>
          <w:b/>
          <w:color w:val="auto"/>
        </w:rPr>
        <w:t xml:space="preserve"> </w:t>
      </w:r>
      <w:r w:rsidR="00847FF5">
        <w:rPr>
          <w:rFonts w:ascii="Arial" w:hAnsi="Arial" w:cs="Arial"/>
          <w:b/>
          <w:color w:val="auto"/>
        </w:rPr>
        <w:t>Strategy</w:t>
      </w:r>
      <w:r w:rsidR="0049725A">
        <w:rPr>
          <w:rFonts w:ascii="Arial" w:hAnsi="Arial" w:cs="Arial"/>
          <w:b/>
          <w:color w:val="auto"/>
        </w:rPr>
        <w:t xml:space="preserve"> outline </w:t>
      </w:r>
    </w:p>
    <w:tbl>
      <w:tblPr>
        <w:tblStyle w:val="TableGrid"/>
        <w:tblW w:w="14621" w:type="dxa"/>
        <w:tblLook w:val="04A0"/>
      </w:tblPr>
      <w:tblGrid>
        <w:gridCol w:w="3539"/>
        <w:gridCol w:w="1276"/>
        <w:gridCol w:w="2268"/>
        <w:gridCol w:w="992"/>
        <w:gridCol w:w="2410"/>
        <w:gridCol w:w="850"/>
        <w:gridCol w:w="2268"/>
        <w:gridCol w:w="1018"/>
      </w:tblGrid>
      <w:tr w:rsidR="008B1C63" w:rsidTr="00984119">
        <w:trPr>
          <w:trHeight w:val="440"/>
        </w:trPr>
        <w:tc>
          <w:tcPr>
            <w:tcW w:w="3539" w:type="dxa"/>
            <w:shd w:val="clear" w:color="auto" w:fill="347186"/>
            <w:vAlign w:val="center"/>
          </w:tcPr>
          <w:bookmarkEnd w:id="1"/>
          <w:p w:rsidR="008B1C63" w:rsidRPr="008B1C63" w:rsidRDefault="008B1C63" w:rsidP="00486910">
            <w:pPr>
              <w:spacing w:before="120" w:after="120" w:line="276" w:lineRule="auto"/>
              <w:rPr>
                <w:rFonts w:ascii="Arial" w:eastAsiaTheme="minorEastAsia" w:hAnsi="Arial" w:cs="Arial"/>
                <w:b/>
                <w:lang w:val="en-US" w:eastAsia="ja-JP"/>
              </w:rPr>
            </w:pPr>
            <w:r w:rsidRPr="008B1C63">
              <w:rPr>
                <w:rFonts w:ascii="Arial" w:eastAsiaTheme="minorEastAsia" w:hAnsi="Arial" w:cs="Arial"/>
                <w:b/>
                <w:color w:val="FFFFFF" w:themeColor="background1"/>
                <w:lang w:val="en-US" w:eastAsia="ja-JP"/>
              </w:rPr>
              <w:t>School name</w:t>
            </w:r>
            <w:r w:rsidR="00C047A7">
              <w:rPr>
                <w:rFonts w:ascii="Arial" w:eastAsiaTheme="minorEastAsia" w:hAnsi="Arial" w:cs="Arial"/>
                <w:b/>
                <w:color w:val="FFFFFF" w:themeColor="background1"/>
                <w:lang w:val="en-US" w:eastAsia="ja-JP"/>
              </w:rPr>
              <w:t>:</w:t>
            </w:r>
          </w:p>
        </w:tc>
        <w:tc>
          <w:tcPr>
            <w:tcW w:w="11082" w:type="dxa"/>
            <w:gridSpan w:val="7"/>
            <w:vAlign w:val="center"/>
          </w:tcPr>
          <w:p w:rsidR="008B1C63" w:rsidRPr="008B1C63" w:rsidRDefault="0049725A" w:rsidP="00486910">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Doncaster School for The D</w:t>
            </w:r>
            <w:r w:rsidR="00535498">
              <w:rPr>
                <w:rFonts w:ascii="Arial" w:eastAsiaTheme="minorEastAsia" w:hAnsi="Arial" w:cs="Arial"/>
                <w:b/>
                <w:lang w:val="en-US" w:eastAsia="ja-JP"/>
              </w:rPr>
              <w:t xml:space="preserve">eaf </w:t>
            </w:r>
          </w:p>
        </w:tc>
      </w:tr>
      <w:tr w:rsidR="000D798B" w:rsidTr="00984119">
        <w:trPr>
          <w:trHeight w:val="417"/>
        </w:trPr>
        <w:tc>
          <w:tcPr>
            <w:tcW w:w="3539" w:type="dxa"/>
            <w:shd w:val="clear" w:color="auto" w:fill="347186"/>
            <w:vAlign w:val="center"/>
          </w:tcPr>
          <w:p w:rsidR="000D798B" w:rsidRPr="008B1C63" w:rsidRDefault="000D798B" w:rsidP="00486910">
            <w:pPr>
              <w:spacing w:before="120" w:after="120" w:line="276" w:lineRule="auto"/>
              <w:rPr>
                <w:rFonts w:ascii="Arial" w:eastAsiaTheme="minorEastAsia" w:hAnsi="Arial" w:cs="Arial"/>
                <w:b/>
                <w:lang w:val="en-US" w:eastAsia="ja-JP"/>
              </w:rPr>
            </w:pPr>
            <w:r w:rsidRPr="008B1C63">
              <w:rPr>
                <w:rFonts w:ascii="Arial" w:eastAsiaTheme="minorEastAsia" w:hAnsi="Arial" w:cs="Arial"/>
                <w:b/>
                <w:color w:val="FFFFFF" w:themeColor="background1"/>
                <w:lang w:val="en-US" w:eastAsia="ja-JP"/>
              </w:rPr>
              <w:t>Academic year</w:t>
            </w:r>
            <w:r>
              <w:rPr>
                <w:rFonts w:ascii="Arial" w:eastAsiaTheme="minorEastAsia" w:hAnsi="Arial" w:cs="Arial"/>
                <w:b/>
                <w:color w:val="FFFFFF" w:themeColor="background1"/>
                <w:lang w:val="en-US" w:eastAsia="ja-JP"/>
              </w:rPr>
              <w:t>:</w:t>
            </w:r>
          </w:p>
        </w:tc>
        <w:tc>
          <w:tcPr>
            <w:tcW w:w="11082" w:type="dxa"/>
            <w:gridSpan w:val="7"/>
            <w:vAlign w:val="center"/>
          </w:tcPr>
          <w:p w:rsidR="000D798B" w:rsidRPr="008B1C63" w:rsidRDefault="00535498" w:rsidP="00486910">
            <w:pPr>
              <w:spacing w:before="120" w:after="120" w:line="276" w:lineRule="auto"/>
              <w:jc w:val="center"/>
              <w:rPr>
                <w:rFonts w:ascii="Arial" w:eastAsiaTheme="minorEastAsia" w:hAnsi="Arial" w:cs="Arial"/>
                <w:b/>
                <w:lang w:val="en-US" w:eastAsia="ja-JP"/>
              </w:rPr>
            </w:pPr>
            <w:r>
              <w:rPr>
                <w:rFonts w:ascii="Arial" w:eastAsiaTheme="minorEastAsia" w:hAnsi="Arial" w:cs="Arial"/>
                <w:b/>
                <w:lang w:val="en-US" w:eastAsia="ja-JP"/>
              </w:rPr>
              <w:t>2020-2021</w:t>
            </w:r>
          </w:p>
        </w:tc>
      </w:tr>
      <w:tr w:rsidR="000D798B" w:rsidTr="00984119">
        <w:trPr>
          <w:trHeight w:val="417"/>
        </w:trPr>
        <w:tc>
          <w:tcPr>
            <w:tcW w:w="3539" w:type="dxa"/>
            <w:shd w:val="clear" w:color="auto" w:fill="347186"/>
            <w:vAlign w:val="center"/>
          </w:tcPr>
          <w:p w:rsidR="000D798B" w:rsidRDefault="000D798B" w:rsidP="00486910">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Total number of pupils on roll:</w:t>
            </w:r>
          </w:p>
        </w:tc>
        <w:tc>
          <w:tcPr>
            <w:tcW w:w="11082" w:type="dxa"/>
            <w:gridSpan w:val="7"/>
            <w:vAlign w:val="center"/>
          </w:tcPr>
          <w:p w:rsidR="000D798B" w:rsidRPr="008B1C63" w:rsidRDefault="00535498" w:rsidP="00486910">
            <w:pPr>
              <w:spacing w:before="120" w:after="120" w:line="276" w:lineRule="auto"/>
              <w:jc w:val="center"/>
              <w:rPr>
                <w:rFonts w:ascii="Arial" w:eastAsiaTheme="minorEastAsia" w:hAnsi="Arial" w:cs="Arial"/>
                <w:b/>
                <w:lang w:val="en-US" w:eastAsia="ja-JP"/>
              </w:rPr>
            </w:pPr>
            <w:r>
              <w:rPr>
                <w:rFonts w:ascii="Arial" w:eastAsiaTheme="minorEastAsia" w:hAnsi="Arial" w:cs="Arial"/>
                <w:b/>
                <w:lang w:val="en-US" w:eastAsia="ja-JP"/>
              </w:rPr>
              <w:t>29</w:t>
            </w:r>
          </w:p>
        </w:tc>
      </w:tr>
      <w:tr w:rsidR="0069102D" w:rsidTr="0069102D">
        <w:trPr>
          <w:trHeight w:val="417"/>
        </w:trPr>
        <w:tc>
          <w:tcPr>
            <w:tcW w:w="3539" w:type="dxa"/>
            <w:shd w:val="clear" w:color="auto" w:fill="347186"/>
            <w:vAlign w:val="center"/>
          </w:tcPr>
          <w:p w:rsidR="0069102D" w:rsidRPr="008B1C63" w:rsidRDefault="0069102D" w:rsidP="00486910">
            <w:pPr>
              <w:spacing w:before="120" w:after="120" w:line="276" w:lineRule="auto"/>
              <w:rPr>
                <w:rFonts w:ascii="Arial" w:eastAsiaTheme="minorEastAsia" w:hAnsi="Arial" w:cs="Arial"/>
                <w:b/>
                <w:color w:val="FFFFFF" w:themeColor="background1"/>
                <w:lang w:val="en-US" w:eastAsia="ja-JP"/>
              </w:rPr>
            </w:pPr>
            <w:r w:rsidRPr="008B1C63">
              <w:rPr>
                <w:rFonts w:ascii="Arial" w:eastAsiaTheme="minorEastAsia" w:hAnsi="Arial" w:cs="Arial"/>
                <w:b/>
                <w:color w:val="FFFFFF" w:themeColor="background1"/>
                <w:lang w:val="en-US" w:eastAsia="ja-JP"/>
              </w:rPr>
              <w:t xml:space="preserve">Total </w:t>
            </w:r>
            <w:r>
              <w:rPr>
                <w:rFonts w:ascii="Arial" w:eastAsiaTheme="minorEastAsia" w:hAnsi="Arial" w:cs="Arial"/>
                <w:b/>
                <w:color w:val="FFFFFF" w:themeColor="background1"/>
                <w:lang w:val="en-US" w:eastAsia="ja-JP"/>
              </w:rPr>
              <w:t>catch-up</w:t>
            </w:r>
            <w:r w:rsidRPr="008B1C63">
              <w:rPr>
                <w:rFonts w:ascii="Arial" w:eastAsiaTheme="minorEastAsia" w:hAnsi="Arial" w:cs="Arial"/>
                <w:b/>
                <w:color w:val="FFFFFF" w:themeColor="background1"/>
                <w:lang w:val="en-US" w:eastAsia="ja-JP"/>
              </w:rPr>
              <w:t xml:space="preserve"> budget</w:t>
            </w:r>
            <w:r>
              <w:rPr>
                <w:rFonts w:ascii="Arial" w:eastAsiaTheme="minorEastAsia" w:hAnsi="Arial" w:cs="Arial"/>
                <w:b/>
                <w:color w:val="FFFFFF" w:themeColor="background1"/>
                <w:lang w:val="en-US" w:eastAsia="ja-JP"/>
              </w:rPr>
              <w:t>:</w:t>
            </w:r>
          </w:p>
        </w:tc>
        <w:tc>
          <w:tcPr>
            <w:tcW w:w="1276" w:type="dxa"/>
            <w:vAlign w:val="center"/>
          </w:tcPr>
          <w:p w:rsidR="0069102D" w:rsidRPr="008B1C63" w:rsidRDefault="00535498"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£2040</w:t>
            </w:r>
            <w:r w:rsidR="00E61444">
              <w:rPr>
                <w:rFonts w:ascii="Arial" w:eastAsiaTheme="minorEastAsia" w:hAnsi="Arial" w:cs="Arial"/>
                <w:b/>
                <w:lang w:val="en-US" w:eastAsia="ja-JP"/>
              </w:rPr>
              <w:t xml:space="preserve"> </w:t>
            </w:r>
          </w:p>
        </w:tc>
        <w:tc>
          <w:tcPr>
            <w:tcW w:w="2268" w:type="dxa"/>
            <w:vAlign w:val="center"/>
          </w:tcPr>
          <w:p w:rsidR="0069102D" w:rsidRPr="008B1C63" w:rsidRDefault="0069102D"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First installment:</w:t>
            </w:r>
          </w:p>
        </w:tc>
        <w:tc>
          <w:tcPr>
            <w:tcW w:w="992" w:type="dxa"/>
            <w:vAlign w:val="center"/>
          </w:tcPr>
          <w:p w:rsidR="0069102D" w:rsidRPr="008B1C63" w:rsidRDefault="0069102D" w:rsidP="00486910">
            <w:pPr>
              <w:spacing w:before="120" w:after="120"/>
              <w:jc w:val="center"/>
              <w:rPr>
                <w:rFonts w:ascii="Arial" w:eastAsiaTheme="minorEastAsia" w:hAnsi="Arial" w:cs="Arial"/>
                <w:b/>
                <w:lang w:val="en-US" w:eastAsia="ja-JP"/>
              </w:rPr>
            </w:pPr>
          </w:p>
        </w:tc>
        <w:tc>
          <w:tcPr>
            <w:tcW w:w="2410" w:type="dxa"/>
            <w:vAlign w:val="center"/>
          </w:tcPr>
          <w:p w:rsidR="0069102D" w:rsidRPr="008B1C63" w:rsidRDefault="0069102D"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Second installment:</w:t>
            </w:r>
          </w:p>
        </w:tc>
        <w:tc>
          <w:tcPr>
            <w:tcW w:w="850" w:type="dxa"/>
            <w:vAlign w:val="center"/>
          </w:tcPr>
          <w:p w:rsidR="0069102D" w:rsidRPr="008B1C63" w:rsidRDefault="0069102D" w:rsidP="00486910">
            <w:pPr>
              <w:spacing w:before="120" w:after="120"/>
              <w:jc w:val="center"/>
              <w:rPr>
                <w:rFonts w:ascii="Arial" w:eastAsiaTheme="minorEastAsia" w:hAnsi="Arial" w:cs="Arial"/>
                <w:b/>
                <w:lang w:val="en-US" w:eastAsia="ja-JP"/>
              </w:rPr>
            </w:pPr>
          </w:p>
        </w:tc>
        <w:tc>
          <w:tcPr>
            <w:tcW w:w="2268" w:type="dxa"/>
            <w:vAlign w:val="center"/>
          </w:tcPr>
          <w:p w:rsidR="0069102D" w:rsidRPr="008B1C63" w:rsidRDefault="0069102D"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Third installment:</w:t>
            </w:r>
          </w:p>
        </w:tc>
        <w:tc>
          <w:tcPr>
            <w:tcW w:w="1018" w:type="dxa"/>
            <w:vAlign w:val="center"/>
          </w:tcPr>
          <w:p w:rsidR="0069102D" w:rsidRPr="008B1C63" w:rsidRDefault="0069102D" w:rsidP="00486910">
            <w:pPr>
              <w:spacing w:before="120" w:after="120" w:line="276" w:lineRule="auto"/>
              <w:jc w:val="center"/>
              <w:rPr>
                <w:rFonts w:ascii="Arial" w:eastAsiaTheme="minorEastAsia" w:hAnsi="Arial" w:cs="Arial"/>
                <w:b/>
                <w:lang w:val="en-US" w:eastAsia="ja-JP"/>
              </w:rPr>
            </w:pPr>
          </w:p>
        </w:tc>
      </w:tr>
      <w:tr w:rsidR="000D798B" w:rsidTr="00984119">
        <w:trPr>
          <w:trHeight w:val="417"/>
        </w:trPr>
        <w:tc>
          <w:tcPr>
            <w:tcW w:w="3539" w:type="dxa"/>
            <w:shd w:val="clear" w:color="auto" w:fill="347186"/>
            <w:vAlign w:val="center"/>
          </w:tcPr>
          <w:p w:rsidR="000D798B" w:rsidRDefault="000D798B" w:rsidP="00486910">
            <w:pPr>
              <w:spacing w:before="120" w:after="120"/>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Date of review:</w:t>
            </w:r>
          </w:p>
        </w:tc>
        <w:tc>
          <w:tcPr>
            <w:tcW w:w="11082" w:type="dxa"/>
            <w:gridSpan w:val="7"/>
            <w:vAlign w:val="center"/>
          </w:tcPr>
          <w:p w:rsidR="000D798B" w:rsidRPr="008B1C63" w:rsidRDefault="00535498"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July 2021</w:t>
            </w:r>
          </w:p>
        </w:tc>
      </w:tr>
    </w:tbl>
    <w:p w:rsidR="00E2639F" w:rsidRDefault="00E2639F" w:rsidP="00C51C82">
      <w:pPr>
        <w:rPr>
          <w:rFonts w:ascii="Arial" w:eastAsiaTheme="minorEastAsia" w:hAnsi="Arial" w:cs="Arial"/>
          <w:b/>
          <w:lang w:val="en-US" w:eastAsia="ja-JP"/>
        </w:rPr>
      </w:pPr>
    </w:p>
    <w:tbl>
      <w:tblPr>
        <w:tblStyle w:val="TableGrid"/>
        <w:tblW w:w="0" w:type="auto"/>
        <w:tblLook w:val="04A0"/>
      </w:tblPr>
      <w:tblGrid>
        <w:gridCol w:w="2834"/>
        <w:gridCol w:w="2835"/>
        <w:gridCol w:w="4504"/>
        <w:gridCol w:w="1166"/>
        <w:gridCol w:w="2835"/>
      </w:tblGrid>
      <w:tr w:rsidR="0049725A" w:rsidRPr="00A63EA8" w:rsidTr="00A63EA8">
        <w:tc>
          <w:tcPr>
            <w:tcW w:w="2834" w:type="dxa"/>
            <w:shd w:val="clear" w:color="auto" w:fill="002060"/>
          </w:tcPr>
          <w:p w:rsidR="0049725A" w:rsidRPr="00A63EA8" w:rsidRDefault="0049725A" w:rsidP="00F23198">
            <w:pPr>
              <w:rPr>
                <w:rFonts w:ascii="Arial" w:eastAsiaTheme="minorEastAsia" w:hAnsi="Arial" w:cs="Arial"/>
                <w:b/>
                <w:sz w:val="24"/>
                <w:szCs w:val="24"/>
                <w:lang w:val="en-US" w:eastAsia="ja-JP"/>
              </w:rPr>
            </w:pPr>
            <w:r w:rsidRPr="00A63EA8">
              <w:rPr>
                <w:rFonts w:ascii="Arial" w:hAnsi="Arial" w:cs="Arial"/>
                <w:sz w:val="24"/>
                <w:szCs w:val="24"/>
              </w:rPr>
              <w:t xml:space="preserve">Strategy Area </w:t>
            </w:r>
          </w:p>
        </w:tc>
        <w:tc>
          <w:tcPr>
            <w:tcW w:w="2835" w:type="dxa"/>
            <w:shd w:val="clear" w:color="auto" w:fill="002060"/>
          </w:tcPr>
          <w:p w:rsidR="0049725A" w:rsidRPr="00A63EA8" w:rsidRDefault="0049725A" w:rsidP="00C51C82">
            <w:pPr>
              <w:rPr>
                <w:rFonts w:ascii="Arial" w:eastAsiaTheme="minorEastAsia" w:hAnsi="Arial" w:cs="Arial"/>
                <w:b/>
                <w:sz w:val="24"/>
                <w:szCs w:val="24"/>
                <w:lang w:val="en-US" w:eastAsia="ja-JP"/>
              </w:rPr>
            </w:pPr>
            <w:r w:rsidRPr="00A63EA8">
              <w:rPr>
                <w:rFonts w:ascii="Arial" w:eastAsiaTheme="minorEastAsia" w:hAnsi="Arial" w:cs="Arial"/>
                <w:b/>
                <w:sz w:val="24"/>
                <w:szCs w:val="24"/>
                <w:lang w:val="en-US" w:eastAsia="ja-JP"/>
              </w:rPr>
              <w:t xml:space="preserve">Action </w:t>
            </w:r>
          </w:p>
        </w:tc>
        <w:tc>
          <w:tcPr>
            <w:tcW w:w="4504" w:type="dxa"/>
            <w:shd w:val="clear" w:color="auto" w:fill="002060"/>
          </w:tcPr>
          <w:p w:rsidR="0049725A" w:rsidRPr="00A63EA8" w:rsidRDefault="0049725A" w:rsidP="00C51C82">
            <w:pPr>
              <w:rPr>
                <w:rFonts w:ascii="Arial" w:eastAsiaTheme="minorEastAsia" w:hAnsi="Arial" w:cs="Arial"/>
                <w:b/>
                <w:sz w:val="24"/>
                <w:szCs w:val="24"/>
                <w:lang w:val="en-US" w:eastAsia="ja-JP"/>
              </w:rPr>
            </w:pPr>
            <w:r w:rsidRPr="00A63EA8">
              <w:rPr>
                <w:rFonts w:ascii="Arial" w:eastAsiaTheme="minorEastAsia" w:hAnsi="Arial" w:cs="Arial"/>
                <w:b/>
                <w:sz w:val="24"/>
                <w:szCs w:val="24"/>
                <w:lang w:val="en-US" w:eastAsia="ja-JP"/>
              </w:rPr>
              <w:t xml:space="preserve">EEF support guide </w:t>
            </w:r>
          </w:p>
        </w:tc>
        <w:tc>
          <w:tcPr>
            <w:tcW w:w="1166" w:type="dxa"/>
            <w:shd w:val="clear" w:color="auto" w:fill="002060"/>
          </w:tcPr>
          <w:p w:rsidR="0049725A" w:rsidRPr="00A63EA8" w:rsidRDefault="0049725A" w:rsidP="00C51C82">
            <w:pPr>
              <w:rPr>
                <w:rFonts w:ascii="Arial" w:eastAsiaTheme="minorEastAsia" w:hAnsi="Arial" w:cs="Arial"/>
                <w:b/>
                <w:sz w:val="24"/>
                <w:szCs w:val="24"/>
                <w:lang w:val="en-US" w:eastAsia="ja-JP"/>
              </w:rPr>
            </w:pPr>
            <w:r w:rsidRPr="00A63EA8">
              <w:rPr>
                <w:rFonts w:ascii="Arial" w:eastAsiaTheme="minorEastAsia" w:hAnsi="Arial" w:cs="Arial"/>
                <w:b/>
                <w:sz w:val="24"/>
                <w:szCs w:val="24"/>
                <w:lang w:val="en-US" w:eastAsia="ja-JP"/>
              </w:rPr>
              <w:t xml:space="preserve">Cost </w:t>
            </w:r>
          </w:p>
        </w:tc>
        <w:tc>
          <w:tcPr>
            <w:tcW w:w="2835" w:type="dxa"/>
            <w:shd w:val="clear" w:color="auto" w:fill="002060"/>
          </w:tcPr>
          <w:p w:rsidR="0049725A" w:rsidRPr="00A63EA8" w:rsidRDefault="00A63EA8" w:rsidP="00C51C82">
            <w:pPr>
              <w:rPr>
                <w:rFonts w:ascii="Arial" w:eastAsiaTheme="minorEastAsia" w:hAnsi="Arial" w:cs="Arial"/>
                <w:b/>
                <w:sz w:val="24"/>
                <w:szCs w:val="24"/>
                <w:lang w:val="en-US" w:eastAsia="ja-JP"/>
              </w:rPr>
            </w:pPr>
            <w:r w:rsidRPr="00A63EA8">
              <w:rPr>
                <w:rFonts w:ascii="Arial" w:eastAsiaTheme="minorEastAsia" w:hAnsi="Arial" w:cs="Arial"/>
                <w:b/>
                <w:sz w:val="24"/>
                <w:szCs w:val="24"/>
                <w:lang w:val="en-US" w:eastAsia="ja-JP"/>
              </w:rPr>
              <w:t xml:space="preserve">Intended </w:t>
            </w:r>
            <w:r w:rsidR="0049725A" w:rsidRPr="00A63EA8">
              <w:rPr>
                <w:rFonts w:ascii="Arial" w:eastAsiaTheme="minorEastAsia" w:hAnsi="Arial" w:cs="Arial"/>
                <w:b/>
                <w:sz w:val="24"/>
                <w:szCs w:val="24"/>
                <w:lang w:val="en-US" w:eastAsia="ja-JP"/>
              </w:rPr>
              <w:t>impact</w:t>
            </w:r>
          </w:p>
        </w:tc>
      </w:tr>
      <w:tr w:rsidR="00A63EA8" w:rsidRPr="00A63EA8" w:rsidTr="00A63EA8">
        <w:tc>
          <w:tcPr>
            <w:tcW w:w="2834" w:type="dxa"/>
            <w:vMerge w:val="restart"/>
          </w:tcPr>
          <w:p w:rsidR="00A63EA8" w:rsidRPr="00A63EA8" w:rsidRDefault="00A63EA8" w:rsidP="00F23198">
            <w:pPr>
              <w:spacing w:before="120" w:after="120"/>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Teaching and whole-school strategies</w:t>
            </w:r>
          </w:p>
          <w:p w:rsidR="00A63EA8" w:rsidRPr="00A63EA8" w:rsidRDefault="00A63EA8" w:rsidP="00C51C82">
            <w:pPr>
              <w:rPr>
                <w:rFonts w:ascii="Arial" w:eastAsiaTheme="minorEastAsia" w:hAnsi="Arial" w:cs="Arial"/>
                <w:sz w:val="20"/>
                <w:szCs w:val="20"/>
                <w:lang w:val="en-US" w:eastAsia="ja-JP"/>
              </w:rPr>
            </w:pPr>
          </w:p>
        </w:tc>
        <w:tc>
          <w:tcPr>
            <w:tcW w:w="2835" w:type="dxa"/>
          </w:tcPr>
          <w:p w:rsidR="00A63EA8" w:rsidRPr="00A63EA8" w:rsidRDefault="00A63EA8"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 xml:space="preserve">Welcome video for new pupils made by staff </w:t>
            </w:r>
          </w:p>
        </w:tc>
        <w:tc>
          <w:tcPr>
            <w:tcW w:w="4504" w:type="dxa"/>
          </w:tcPr>
          <w:p w:rsidR="00A63EA8" w:rsidRPr="00A63EA8" w:rsidRDefault="00A63EA8" w:rsidP="00C51C82">
            <w:pPr>
              <w:rPr>
                <w:rFonts w:ascii="Arial" w:eastAsiaTheme="minorEastAsia" w:hAnsi="Arial" w:cs="Arial"/>
                <w:sz w:val="20"/>
                <w:szCs w:val="20"/>
                <w:lang w:val="en-US" w:eastAsia="ja-JP"/>
              </w:rPr>
            </w:pPr>
            <w:r w:rsidRPr="00A63EA8">
              <w:rPr>
                <w:rFonts w:ascii="Arial" w:hAnsi="Arial" w:cs="Arial"/>
                <w:sz w:val="20"/>
                <w:szCs w:val="20"/>
              </w:rPr>
              <w:t xml:space="preserve">Transition </w:t>
            </w:r>
            <w:proofErr w:type="gramStart"/>
            <w:r w:rsidRPr="00A63EA8">
              <w:rPr>
                <w:rFonts w:ascii="Arial" w:hAnsi="Arial" w:cs="Arial"/>
                <w:sz w:val="20"/>
                <w:szCs w:val="20"/>
              </w:rPr>
              <w:t>support :All</w:t>
            </w:r>
            <w:proofErr w:type="gramEnd"/>
            <w:r w:rsidRPr="00A63EA8">
              <w:rPr>
                <w:rFonts w:ascii="Arial" w:hAnsi="Arial" w:cs="Arial"/>
                <w:sz w:val="20"/>
                <w:szCs w:val="20"/>
              </w:rPr>
              <w:t xml:space="preserve"> pupils will need support to transition back to school. However, there are particular challenges for pupils starting a new school after the disruptions caused by Covid-19.</w:t>
            </w:r>
          </w:p>
        </w:tc>
        <w:tc>
          <w:tcPr>
            <w:tcW w:w="1166" w:type="dxa"/>
          </w:tcPr>
          <w:p w:rsidR="00A63EA8" w:rsidRPr="00A63EA8" w:rsidRDefault="00A63EA8"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w:t>
            </w:r>
            <w:proofErr w:type="spellStart"/>
            <w:r w:rsidRPr="00A63EA8">
              <w:rPr>
                <w:rFonts w:ascii="Arial" w:eastAsiaTheme="minorEastAsia" w:hAnsi="Arial" w:cs="Arial"/>
                <w:sz w:val="20"/>
                <w:szCs w:val="20"/>
                <w:lang w:val="en-US" w:eastAsia="ja-JP"/>
              </w:rPr>
              <w:t>na</w:t>
            </w:r>
            <w:proofErr w:type="spellEnd"/>
          </w:p>
        </w:tc>
        <w:tc>
          <w:tcPr>
            <w:tcW w:w="2835" w:type="dxa"/>
          </w:tcPr>
          <w:p w:rsidR="00A63EA8" w:rsidRPr="00A63EA8" w:rsidRDefault="00FA75BE" w:rsidP="00C51C82">
            <w:pPr>
              <w:rPr>
                <w:rFonts w:ascii="Arial" w:eastAsiaTheme="minorEastAsia" w:hAnsi="Arial" w:cs="Arial"/>
                <w:sz w:val="20"/>
                <w:szCs w:val="20"/>
                <w:lang w:val="en-US" w:eastAsia="ja-JP"/>
              </w:rPr>
            </w:pPr>
            <w:r>
              <w:rPr>
                <w:rFonts w:ascii="Arial" w:eastAsiaTheme="minorEastAsia" w:hAnsi="Arial" w:cs="Arial"/>
                <w:sz w:val="20"/>
                <w:szCs w:val="20"/>
                <w:lang w:val="en-US" w:eastAsia="ja-JP"/>
              </w:rPr>
              <w:t xml:space="preserve">Supporting </w:t>
            </w:r>
            <w:r w:rsidR="00A63EA8" w:rsidRPr="00A63EA8">
              <w:rPr>
                <w:rFonts w:ascii="Arial" w:eastAsiaTheme="minorEastAsia" w:hAnsi="Arial" w:cs="Arial"/>
                <w:sz w:val="20"/>
                <w:szCs w:val="20"/>
                <w:lang w:val="en-US" w:eastAsia="ja-JP"/>
              </w:rPr>
              <w:t xml:space="preserve">transition of new </w:t>
            </w:r>
            <w:r w:rsidR="00E61444" w:rsidRPr="00A63EA8">
              <w:rPr>
                <w:rFonts w:ascii="Arial" w:eastAsiaTheme="minorEastAsia" w:hAnsi="Arial" w:cs="Arial"/>
                <w:sz w:val="20"/>
                <w:szCs w:val="20"/>
                <w:lang w:val="en-US" w:eastAsia="ja-JP"/>
              </w:rPr>
              <w:t>pupils</w:t>
            </w:r>
            <w:r w:rsidR="00A63EA8" w:rsidRPr="00A63EA8">
              <w:rPr>
                <w:rFonts w:ascii="Arial" w:eastAsiaTheme="minorEastAsia" w:hAnsi="Arial" w:cs="Arial"/>
                <w:sz w:val="20"/>
                <w:szCs w:val="20"/>
                <w:lang w:val="en-US" w:eastAsia="ja-JP"/>
              </w:rPr>
              <w:t xml:space="preserve"> before </w:t>
            </w:r>
            <w:r w:rsidR="00E61444" w:rsidRPr="00A63EA8">
              <w:rPr>
                <w:rFonts w:ascii="Arial" w:eastAsiaTheme="minorEastAsia" w:hAnsi="Arial" w:cs="Arial"/>
                <w:sz w:val="20"/>
                <w:szCs w:val="20"/>
                <w:lang w:val="en-US" w:eastAsia="ja-JP"/>
              </w:rPr>
              <w:t>arrival</w:t>
            </w:r>
            <w:r w:rsidR="00A63EA8" w:rsidRPr="00A63EA8">
              <w:rPr>
                <w:rFonts w:ascii="Arial" w:eastAsiaTheme="minorEastAsia" w:hAnsi="Arial" w:cs="Arial"/>
                <w:sz w:val="20"/>
                <w:szCs w:val="20"/>
                <w:lang w:val="en-US" w:eastAsia="ja-JP"/>
              </w:rPr>
              <w:t xml:space="preserve"> </w:t>
            </w:r>
          </w:p>
        </w:tc>
      </w:tr>
      <w:tr w:rsidR="00A63EA8" w:rsidRPr="00A63EA8" w:rsidTr="00A63EA8">
        <w:tc>
          <w:tcPr>
            <w:tcW w:w="2834" w:type="dxa"/>
            <w:vMerge/>
          </w:tcPr>
          <w:p w:rsidR="00A63EA8" w:rsidRPr="00A63EA8" w:rsidRDefault="00A63EA8" w:rsidP="00C51C82">
            <w:pPr>
              <w:rPr>
                <w:rFonts w:ascii="Arial" w:eastAsiaTheme="minorEastAsia" w:hAnsi="Arial" w:cs="Arial"/>
                <w:sz w:val="20"/>
                <w:szCs w:val="20"/>
                <w:lang w:val="en-US" w:eastAsia="ja-JP"/>
              </w:rPr>
            </w:pPr>
          </w:p>
        </w:tc>
        <w:tc>
          <w:tcPr>
            <w:tcW w:w="2835" w:type="dxa"/>
          </w:tcPr>
          <w:p w:rsidR="00A63EA8" w:rsidRPr="00A63EA8" w:rsidRDefault="00A63EA8" w:rsidP="00C51C82">
            <w:pPr>
              <w:rPr>
                <w:rFonts w:ascii="Arial" w:eastAsiaTheme="minorEastAsia" w:hAnsi="Arial" w:cs="Arial"/>
                <w:sz w:val="20"/>
                <w:szCs w:val="20"/>
                <w:lang w:val="en-US" w:eastAsia="ja-JP"/>
              </w:rPr>
            </w:pPr>
            <w:proofErr w:type="spellStart"/>
            <w:r w:rsidRPr="00A63EA8">
              <w:rPr>
                <w:rFonts w:ascii="Arial" w:eastAsiaTheme="minorEastAsia" w:hAnsi="Arial" w:cs="Arial"/>
                <w:sz w:val="20"/>
                <w:szCs w:val="20"/>
                <w:lang w:val="en-US" w:eastAsia="ja-JP"/>
              </w:rPr>
              <w:t>Baselining</w:t>
            </w:r>
            <w:proofErr w:type="spellEnd"/>
            <w:r w:rsidRPr="00A63EA8">
              <w:rPr>
                <w:rFonts w:ascii="Arial" w:eastAsiaTheme="minorEastAsia" w:hAnsi="Arial" w:cs="Arial"/>
                <w:sz w:val="20"/>
                <w:szCs w:val="20"/>
                <w:lang w:val="en-US" w:eastAsia="ja-JP"/>
              </w:rPr>
              <w:t xml:space="preserve"> and assessment – all pupils baseline  </w:t>
            </w:r>
          </w:p>
        </w:tc>
        <w:tc>
          <w:tcPr>
            <w:tcW w:w="4504" w:type="dxa"/>
          </w:tcPr>
          <w:p w:rsidR="00A63EA8" w:rsidRPr="00A63EA8" w:rsidRDefault="00A63EA8" w:rsidP="006F7C1B">
            <w:pPr>
              <w:rPr>
                <w:rFonts w:ascii="Arial" w:eastAsiaTheme="minorEastAsia" w:hAnsi="Arial" w:cs="Arial"/>
                <w:sz w:val="20"/>
                <w:szCs w:val="20"/>
                <w:lang w:val="en-US" w:eastAsia="ja-JP"/>
              </w:rPr>
            </w:pPr>
            <w:r w:rsidRPr="00A63EA8">
              <w:rPr>
                <w:rFonts w:ascii="Arial" w:hAnsi="Arial" w:cs="Arial"/>
                <w:sz w:val="20"/>
                <w:szCs w:val="20"/>
              </w:rPr>
              <w:t xml:space="preserve">Setting aside time to enable teachers to assess pupils’ wellbeing and learning needs is likely to make it easier for teachers and other school staff to provide effective support. For example, subject-specific assessments might be used to identify particular areas where pupils have forgotten or misunderstood key concepts, to ensure that new material being covered builds on secure foundations. </w:t>
            </w:r>
          </w:p>
        </w:tc>
        <w:tc>
          <w:tcPr>
            <w:tcW w:w="1166" w:type="dxa"/>
          </w:tcPr>
          <w:p w:rsidR="00A63EA8" w:rsidRPr="00A63EA8" w:rsidRDefault="00A63EA8"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w:t>
            </w:r>
            <w:proofErr w:type="spellStart"/>
            <w:r w:rsidRPr="00A63EA8">
              <w:rPr>
                <w:rFonts w:ascii="Arial" w:eastAsiaTheme="minorEastAsia" w:hAnsi="Arial" w:cs="Arial"/>
                <w:sz w:val="20"/>
                <w:szCs w:val="20"/>
                <w:lang w:val="en-US" w:eastAsia="ja-JP"/>
              </w:rPr>
              <w:t>na</w:t>
            </w:r>
            <w:proofErr w:type="spellEnd"/>
          </w:p>
        </w:tc>
        <w:tc>
          <w:tcPr>
            <w:tcW w:w="2835" w:type="dxa"/>
          </w:tcPr>
          <w:p w:rsidR="00A63EA8" w:rsidRPr="00A63EA8" w:rsidRDefault="00A63EA8" w:rsidP="00C51C82">
            <w:pPr>
              <w:rPr>
                <w:rFonts w:ascii="Arial" w:eastAsiaTheme="minorEastAsia" w:hAnsi="Arial" w:cs="Arial"/>
                <w:sz w:val="20"/>
                <w:szCs w:val="20"/>
                <w:lang w:val="en-US" w:eastAsia="ja-JP"/>
              </w:rPr>
            </w:pPr>
            <w:r w:rsidRPr="00A63EA8">
              <w:rPr>
                <w:rFonts w:ascii="Arial" w:hAnsi="Arial" w:cs="Arial"/>
                <w:sz w:val="20"/>
                <w:szCs w:val="20"/>
              </w:rPr>
              <w:t xml:space="preserve">To make good progress towards targets and these are met. </w:t>
            </w:r>
          </w:p>
        </w:tc>
      </w:tr>
      <w:tr w:rsidR="00847FF5" w:rsidRPr="00A63EA8" w:rsidTr="00A63EA8">
        <w:trPr>
          <w:trHeight w:val="3534"/>
        </w:trPr>
        <w:tc>
          <w:tcPr>
            <w:tcW w:w="2834" w:type="dxa"/>
          </w:tcPr>
          <w:p w:rsidR="00847FF5" w:rsidRPr="00A63EA8" w:rsidRDefault="00847FF5" w:rsidP="00F23198">
            <w:pPr>
              <w:spacing w:after="120"/>
              <w:rPr>
                <w:rFonts w:ascii="Arial" w:hAnsi="Arial" w:cs="Arial"/>
                <w:sz w:val="20"/>
                <w:szCs w:val="20"/>
                <w:lang w:val="en-US" w:eastAsia="ja-JP"/>
              </w:rPr>
            </w:pPr>
            <w:r w:rsidRPr="00A63EA8">
              <w:rPr>
                <w:rFonts w:ascii="Arial" w:hAnsi="Arial" w:cs="Arial"/>
                <w:sz w:val="20"/>
                <w:szCs w:val="20"/>
                <w:lang w:val="en-US" w:eastAsia="ja-JP"/>
              </w:rPr>
              <w:lastRenderedPageBreak/>
              <w:t xml:space="preserve">Targeted support </w:t>
            </w:r>
          </w:p>
          <w:p w:rsidR="00847FF5" w:rsidRPr="00A63EA8" w:rsidRDefault="00847FF5" w:rsidP="00C51C82">
            <w:pPr>
              <w:rPr>
                <w:rFonts w:ascii="Arial" w:eastAsiaTheme="minorEastAsia" w:hAnsi="Arial" w:cs="Arial"/>
                <w:sz w:val="20"/>
                <w:szCs w:val="20"/>
                <w:lang w:val="en-US" w:eastAsia="ja-JP"/>
              </w:rPr>
            </w:pPr>
          </w:p>
        </w:tc>
        <w:tc>
          <w:tcPr>
            <w:tcW w:w="2835" w:type="dxa"/>
          </w:tcPr>
          <w:p w:rsidR="00847FF5" w:rsidRPr="00A63EA8" w:rsidRDefault="00847FF5"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 xml:space="preserve">Additional tuition , particularly towards exams </w:t>
            </w:r>
          </w:p>
          <w:p w:rsidR="00847FF5" w:rsidRPr="00A63EA8" w:rsidRDefault="00847FF5" w:rsidP="00C51C82">
            <w:pPr>
              <w:rPr>
                <w:rFonts w:ascii="Arial" w:eastAsiaTheme="minorEastAsia" w:hAnsi="Arial" w:cs="Arial"/>
                <w:sz w:val="20"/>
                <w:szCs w:val="20"/>
                <w:lang w:val="en-US" w:eastAsia="ja-JP"/>
              </w:rPr>
            </w:pPr>
          </w:p>
          <w:p w:rsidR="00847FF5" w:rsidRPr="00A63EA8" w:rsidRDefault="00847FF5"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 xml:space="preserve">Year 10 and year 11 after school tuition by teachers </w:t>
            </w:r>
          </w:p>
          <w:p w:rsidR="00847FF5" w:rsidRPr="00A63EA8" w:rsidRDefault="00847FF5"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 xml:space="preserve">Photography GCSE catch up </w:t>
            </w:r>
          </w:p>
          <w:p w:rsidR="00847FF5" w:rsidRPr="00A63EA8" w:rsidRDefault="00847FF5" w:rsidP="00C51C82">
            <w:pPr>
              <w:rPr>
                <w:rFonts w:ascii="Arial" w:eastAsiaTheme="minorEastAsia" w:hAnsi="Arial" w:cs="Arial"/>
                <w:sz w:val="20"/>
                <w:szCs w:val="20"/>
                <w:lang w:val="en-US" w:eastAsia="ja-JP"/>
              </w:rPr>
            </w:pPr>
          </w:p>
          <w:p w:rsidR="00847FF5" w:rsidRPr="00A63EA8" w:rsidRDefault="00847FF5"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 xml:space="preserve">Reading – phonics intervention for targeted pupils by STA but monitored by lead teacher </w:t>
            </w:r>
          </w:p>
          <w:p w:rsidR="00847FF5" w:rsidRPr="00A63EA8" w:rsidRDefault="00847FF5"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 xml:space="preserve">After school and in school </w:t>
            </w:r>
          </w:p>
          <w:p w:rsidR="00847FF5" w:rsidRPr="00A63EA8" w:rsidRDefault="00847FF5"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 xml:space="preserve">STAs training by lead teacher , </w:t>
            </w:r>
          </w:p>
        </w:tc>
        <w:tc>
          <w:tcPr>
            <w:tcW w:w="4504" w:type="dxa"/>
          </w:tcPr>
          <w:p w:rsidR="00847FF5" w:rsidRPr="00A63EA8" w:rsidRDefault="00847FF5" w:rsidP="00C51C82">
            <w:pPr>
              <w:rPr>
                <w:rFonts w:ascii="Arial" w:eastAsiaTheme="minorEastAsia" w:hAnsi="Arial" w:cs="Arial"/>
                <w:sz w:val="20"/>
                <w:szCs w:val="20"/>
                <w:lang w:val="en-US" w:eastAsia="ja-JP"/>
              </w:rPr>
            </w:pPr>
            <w:r w:rsidRPr="00A63EA8">
              <w:rPr>
                <w:rFonts w:ascii="Arial" w:hAnsi="Arial" w:cs="Arial"/>
                <w:sz w:val="20"/>
                <w:szCs w:val="20"/>
              </w:rPr>
              <w:t xml:space="preserve">There is extensive evidence supporting the impact of </w:t>
            </w:r>
            <w:proofErr w:type="spellStart"/>
            <w:r w:rsidRPr="00A63EA8">
              <w:rPr>
                <w:rFonts w:ascii="Arial" w:hAnsi="Arial" w:cs="Arial"/>
                <w:sz w:val="20"/>
                <w:szCs w:val="20"/>
              </w:rPr>
              <w:t>highquality</w:t>
            </w:r>
            <w:proofErr w:type="spellEnd"/>
            <w:r w:rsidRPr="00A63EA8">
              <w:rPr>
                <w:rFonts w:ascii="Arial" w:hAnsi="Arial" w:cs="Arial"/>
                <w:sz w:val="20"/>
                <w:szCs w:val="20"/>
              </w:rPr>
              <w:t xml:space="preserve"> one to one and small group tuition as a catch-up strategy.</w:t>
            </w:r>
          </w:p>
          <w:p w:rsidR="00847FF5" w:rsidRPr="00A63EA8" w:rsidRDefault="00847FF5" w:rsidP="00C51C82">
            <w:pPr>
              <w:rPr>
                <w:rFonts w:ascii="Arial" w:hAnsi="Arial" w:cs="Arial"/>
                <w:sz w:val="20"/>
                <w:szCs w:val="20"/>
              </w:rPr>
            </w:pPr>
            <w:r w:rsidRPr="00A63EA8">
              <w:rPr>
                <w:rFonts w:ascii="Arial" w:hAnsi="Arial" w:cs="Arial"/>
                <w:sz w:val="20"/>
                <w:szCs w:val="20"/>
              </w:rPr>
              <w:t>Tuition delivered by qualified teachers is likely to have the highest impact. However, tuition delivered by tutors, teaching assistants, or trained volunteers can also be effective. Where tuition is delivered by teaching assistants or volunteers, providing training linked to specific content and approaches is beneficial.</w:t>
            </w:r>
          </w:p>
          <w:p w:rsidR="00847FF5" w:rsidRPr="00A63EA8" w:rsidRDefault="00847FF5" w:rsidP="00C51C82">
            <w:pPr>
              <w:rPr>
                <w:rFonts w:ascii="Arial" w:eastAsiaTheme="minorEastAsia" w:hAnsi="Arial" w:cs="Arial"/>
                <w:sz w:val="20"/>
                <w:szCs w:val="20"/>
                <w:lang w:val="en-US" w:eastAsia="ja-JP"/>
              </w:rPr>
            </w:pPr>
            <w:r w:rsidRPr="00A63EA8">
              <w:rPr>
                <w:rFonts w:ascii="Arial" w:hAnsi="Arial" w:cs="Arial"/>
                <w:sz w:val="20"/>
                <w:szCs w:val="20"/>
              </w:rPr>
              <w:t>In order to support pupils who have fallen behind furthest, structured interventions, which may also be delivered one to one or in small groups, are likely to be necessary.</w:t>
            </w:r>
          </w:p>
        </w:tc>
        <w:tc>
          <w:tcPr>
            <w:tcW w:w="1166" w:type="dxa"/>
          </w:tcPr>
          <w:p w:rsidR="00847FF5" w:rsidRPr="00A63EA8" w:rsidRDefault="00A63EA8"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£9</w:t>
            </w:r>
            <w:r w:rsidR="00847FF5" w:rsidRPr="00A63EA8">
              <w:rPr>
                <w:rFonts w:ascii="Arial" w:eastAsiaTheme="minorEastAsia" w:hAnsi="Arial" w:cs="Arial"/>
                <w:sz w:val="20"/>
                <w:szCs w:val="20"/>
                <w:lang w:val="en-US" w:eastAsia="ja-JP"/>
              </w:rPr>
              <w:t>00</w:t>
            </w:r>
          </w:p>
        </w:tc>
        <w:tc>
          <w:tcPr>
            <w:tcW w:w="2835" w:type="dxa"/>
          </w:tcPr>
          <w:p w:rsidR="00847FF5" w:rsidRPr="00A63EA8" w:rsidRDefault="00FA75BE" w:rsidP="00A63EA8">
            <w:pPr>
              <w:rPr>
                <w:rFonts w:ascii="Arial" w:eastAsiaTheme="minorEastAsia" w:hAnsi="Arial" w:cs="Arial"/>
                <w:sz w:val="20"/>
                <w:szCs w:val="20"/>
                <w:lang w:val="en-US" w:eastAsia="ja-JP"/>
              </w:rPr>
            </w:pPr>
            <w:r>
              <w:rPr>
                <w:rFonts w:ascii="Arial" w:eastAsiaTheme="minorEastAsia" w:hAnsi="Arial" w:cs="Arial"/>
                <w:sz w:val="20"/>
                <w:szCs w:val="20"/>
                <w:lang w:val="en-US" w:eastAsia="ja-JP"/>
              </w:rPr>
              <w:t>T</w:t>
            </w:r>
            <w:r w:rsidR="00A63EA8" w:rsidRPr="00A63EA8">
              <w:rPr>
                <w:rFonts w:ascii="Arial" w:eastAsiaTheme="minorEastAsia" w:hAnsi="Arial" w:cs="Arial"/>
                <w:sz w:val="20"/>
                <w:szCs w:val="20"/>
                <w:lang w:val="en-US" w:eastAsia="ja-JP"/>
              </w:rPr>
              <w:t>o make go</w:t>
            </w:r>
            <w:r>
              <w:rPr>
                <w:rFonts w:ascii="Arial" w:eastAsiaTheme="minorEastAsia" w:hAnsi="Arial" w:cs="Arial"/>
                <w:sz w:val="20"/>
                <w:szCs w:val="20"/>
                <w:lang w:val="en-US" w:eastAsia="ja-JP"/>
              </w:rPr>
              <w:t>od progress towards GCSE / other qualifications</w:t>
            </w:r>
            <w:r w:rsidR="00A63EA8" w:rsidRPr="00A63EA8">
              <w:rPr>
                <w:rFonts w:ascii="Arial" w:eastAsiaTheme="minorEastAsia" w:hAnsi="Arial" w:cs="Arial"/>
                <w:sz w:val="20"/>
                <w:szCs w:val="20"/>
                <w:lang w:val="en-US" w:eastAsia="ja-JP"/>
              </w:rPr>
              <w:t xml:space="preserve"> – evidence exam results </w:t>
            </w:r>
          </w:p>
        </w:tc>
      </w:tr>
      <w:tr w:rsidR="00A63EA8" w:rsidRPr="00A63EA8" w:rsidTr="00A63EA8">
        <w:tc>
          <w:tcPr>
            <w:tcW w:w="2834" w:type="dxa"/>
            <w:vMerge w:val="restart"/>
          </w:tcPr>
          <w:p w:rsidR="00A63EA8" w:rsidRPr="00A63EA8" w:rsidRDefault="00A63EA8" w:rsidP="00F23198">
            <w:pPr>
              <w:spacing w:after="120"/>
              <w:rPr>
                <w:rFonts w:ascii="Arial" w:hAnsi="Arial" w:cs="Arial"/>
                <w:sz w:val="20"/>
                <w:szCs w:val="20"/>
                <w:lang w:val="en-US" w:eastAsia="ja-JP"/>
              </w:rPr>
            </w:pPr>
            <w:r w:rsidRPr="00A63EA8">
              <w:rPr>
                <w:rFonts w:ascii="Arial" w:hAnsi="Arial" w:cs="Arial"/>
                <w:sz w:val="20"/>
                <w:szCs w:val="20"/>
                <w:lang w:val="en-US" w:eastAsia="ja-JP"/>
              </w:rPr>
              <w:t>Wider strategies</w:t>
            </w:r>
          </w:p>
          <w:p w:rsidR="00A63EA8" w:rsidRPr="00A63EA8" w:rsidRDefault="00A63EA8" w:rsidP="00C51C82">
            <w:pPr>
              <w:rPr>
                <w:rFonts w:ascii="Arial" w:eastAsiaTheme="minorEastAsia" w:hAnsi="Arial" w:cs="Arial"/>
                <w:sz w:val="20"/>
                <w:szCs w:val="20"/>
                <w:lang w:val="en-US" w:eastAsia="ja-JP"/>
              </w:rPr>
            </w:pPr>
          </w:p>
        </w:tc>
        <w:tc>
          <w:tcPr>
            <w:tcW w:w="2835" w:type="dxa"/>
          </w:tcPr>
          <w:p w:rsidR="00A63EA8" w:rsidRPr="00A63EA8" w:rsidRDefault="00A63EA8" w:rsidP="00C51C82">
            <w:pPr>
              <w:rPr>
                <w:rFonts w:ascii="Arial" w:hAnsi="Arial" w:cs="Arial"/>
                <w:sz w:val="20"/>
                <w:szCs w:val="20"/>
              </w:rPr>
            </w:pPr>
            <w:r w:rsidRPr="00A63EA8">
              <w:rPr>
                <w:rFonts w:ascii="Arial" w:hAnsi="Arial" w:cs="Arial"/>
                <w:sz w:val="20"/>
                <w:szCs w:val="20"/>
              </w:rPr>
              <w:t xml:space="preserve">Providing laptops for some pupils in the case of isolation </w:t>
            </w:r>
          </w:p>
          <w:p w:rsidR="00A63EA8" w:rsidRPr="00A63EA8" w:rsidRDefault="00A63EA8" w:rsidP="00C51C82">
            <w:pPr>
              <w:rPr>
                <w:rFonts w:ascii="Arial" w:eastAsiaTheme="minorEastAsia" w:hAnsi="Arial" w:cs="Arial"/>
                <w:sz w:val="20"/>
                <w:szCs w:val="20"/>
                <w:lang w:val="en-US" w:eastAsia="ja-JP"/>
              </w:rPr>
            </w:pPr>
            <w:r w:rsidRPr="00A63EA8">
              <w:rPr>
                <w:rFonts w:ascii="Arial" w:hAnsi="Arial" w:cs="Arial"/>
                <w:sz w:val="20"/>
                <w:szCs w:val="20"/>
              </w:rPr>
              <w:t>Available on short term loan to support home learning. For additional use in school otherwise</w:t>
            </w:r>
          </w:p>
        </w:tc>
        <w:tc>
          <w:tcPr>
            <w:tcW w:w="4504" w:type="dxa"/>
          </w:tcPr>
          <w:p w:rsidR="00A63EA8" w:rsidRPr="00A63EA8" w:rsidRDefault="00A63EA8" w:rsidP="00C51C82">
            <w:pPr>
              <w:rPr>
                <w:rFonts w:ascii="Arial" w:eastAsiaTheme="minorEastAsia" w:hAnsi="Arial" w:cs="Arial"/>
                <w:sz w:val="20"/>
                <w:szCs w:val="20"/>
                <w:lang w:val="en-US" w:eastAsia="ja-JP"/>
              </w:rPr>
            </w:pPr>
            <w:r w:rsidRPr="00A63EA8">
              <w:rPr>
                <w:rFonts w:ascii="Arial" w:hAnsi="Arial" w:cs="Arial"/>
                <w:sz w:val="20"/>
                <w:szCs w:val="20"/>
              </w:rPr>
              <w:t>As all pupils return to schools, technology could also be valuable; for example, by facilitating access to online tuition or support. Some schools might find it helpful to invest in additional technology, either by providing pupils with devices or improving the facilities available in school.</w:t>
            </w:r>
          </w:p>
        </w:tc>
        <w:tc>
          <w:tcPr>
            <w:tcW w:w="1166" w:type="dxa"/>
          </w:tcPr>
          <w:p w:rsidR="00A63EA8" w:rsidRPr="00A63EA8" w:rsidRDefault="00A63EA8"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£1000</w:t>
            </w:r>
          </w:p>
        </w:tc>
        <w:tc>
          <w:tcPr>
            <w:tcW w:w="2835" w:type="dxa"/>
          </w:tcPr>
          <w:p w:rsidR="00A63EA8" w:rsidRPr="00A63EA8" w:rsidRDefault="00A63EA8" w:rsidP="00A63EA8">
            <w:pPr>
              <w:rPr>
                <w:rFonts w:ascii="Arial" w:eastAsiaTheme="minorEastAsia" w:hAnsi="Arial" w:cs="Arial"/>
                <w:sz w:val="20"/>
                <w:szCs w:val="20"/>
                <w:lang w:val="en-US" w:eastAsia="ja-JP"/>
              </w:rPr>
            </w:pPr>
            <w:r w:rsidRPr="00A63EA8">
              <w:rPr>
                <w:rFonts w:ascii="Arial" w:hAnsi="Arial" w:cs="Arial"/>
                <w:sz w:val="20"/>
                <w:szCs w:val="20"/>
              </w:rPr>
              <w:t xml:space="preserve">For </w:t>
            </w:r>
            <w:r w:rsidR="00FA75BE" w:rsidRPr="00A63EA8">
              <w:rPr>
                <w:rFonts w:ascii="Arial" w:hAnsi="Arial" w:cs="Arial"/>
                <w:sz w:val="20"/>
                <w:szCs w:val="20"/>
              </w:rPr>
              <w:t>pupils</w:t>
            </w:r>
            <w:r w:rsidRPr="00A63EA8">
              <w:rPr>
                <w:rFonts w:ascii="Arial" w:hAnsi="Arial" w:cs="Arial"/>
                <w:sz w:val="20"/>
                <w:szCs w:val="20"/>
              </w:rPr>
              <w:t xml:space="preserve"> </w:t>
            </w:r>
            <w:r w:rsidR="00FA75BE" w:rsidRPr="00A63EA8">
              <w:rPr>
                <w:rFonts w:ascii="Arial" w:hAnsi="Arial" w:cs="Arial"/>
                <w:sz w:val="20"/>
                <w:szCs w:val="20"/>
              </w:rPr>
              <w:t>without</w:t>
            </w:r>
            <w:r w:rsidRPr="00A63EA8">
              <w:rPr>
                <w:rFonts w:ascii="Arial" w:hAnsi="Arial" w:cs="Arial"/>
                <w:sz w:val="20"/>
                <w:szCs w:val="20"/>
              </w:rPr>
              <w:t xml:space="preserve"> </w:t>
            </w:r>
            <w:r w:rsidR="00FA75BE" w:rsidRPr="00A63EA8">
              <w:rPr>
                <w:rFonts w:ascii="Arial" w:hAnsi="Arial" w:cs="Arial"/>
                <w:sz w:val="20"/>
                <w:szCs w:val="20"/>
              </w:rPr>
              <w:t>aces</w:t>
            </w:r>
            <w:r w:rsidRPr="00A63EA8">
              <w:rPr>
                <w:rFonts w:ascii="Arial" w:hAnsi="Arial" w:cs="Arial"/>
                <w:sz w:val="20"/>
                <w:szCs w:val="20"/>
              </w:rPr>
              <w:t xml:space="preserve"> to technology to continue to </w:t>
            </w:r>
            <w:r w:rsidR="00FA75BE" w:rsidRPr="00A63EA8">
              <w:rPr>
                <w:rFonts w:ascii="Arial" w:hAnsi="Arial" w:cs="Arial"/>
                <w:sz w:val="20"/>
                <w:szCs w:val="20"/>
              </w:rPr>
              <w:t>learn</w:t>
            </w:r>
            <w:r w:rsidRPr="00A63EA8">
              <w:rPr>
                <w:rFonts w:ascii="Arial" w:hAnsi="Arial" w:cs="Arial"/>
                <w:sz w:val="20"/>
                <w:szCs w:val="20"/>
              </w:rPr>
              <w:t xml:space="preserve"> at home , accessing zoom lessons and speech therapy </w:t>
            </w:r>
          </w:p>
        </w:tc>
      </w:tr>
      <w:tr w:rsidR="00A63EA8" w:rsidRPr="00A63EA8" w:rsidTr="00A63EA8">
        <w:tc>
          <w:tcPr>
            <w:tcW w:w="2834" w:type="dxa"/>
            <w:vMerge/>
          </w:tcPr>
          <w:p w:rsidR="00A63EA8" w:rsidRPr="00A63EA8" w:rsidRDefault="00A63EA8" w:rsidP="00C51C82">
            <w:pPr>
              <w:rPr>
                <w:rFonts w:ascii="Arial" w:eastAsiaTheme="minorEastAsia" w:hAnsi="Arial" w:cs="Arial"/>
                <w:sz w:val="20"/>
                <w:szCs w:val="20"/>
                <w:lang w:val="en-US" w:eastAsia="ja-JP"/>
              </w:rPr>
            </w:pPr>
          </w:p>
        </w:tc>
        <w:tc>
          <w:tcPr>
            <w:tcW w:w="2835" w:type="dxa"/>
          </w:tcPr>
          <w:p w:rsidR="00A63EA8" w:rsidRPr="00A63EA8" w:rsidRDefault="00A63EA8" w:rsidP="00847FF5">
            <w:pPr>
              <w:rPr>
                <w:rFonts w:ascii="Arial" w:eastAsia="Times New Roman" w:hAnsi="Arial" w:cs="Arial"/>
                <w:color w:val="686464"/>
                <w:sz w:val="20"/>
                <w:szCs w:val="20"/>
                <w:lang w:eastAsia="en-GB"/>
              </w:rPr>
            </w:pPr>
            <w:r w:rsidRPr="00A63EA8">
              <w:rPr>
                <w:rFonts w:ascii="Arial" w:eastAsia="Times New Roman" w:hAnsi="Arial" w:cs="Arial"/>
                <w:color w:val="686464"/>
                <w:sz w:val="20"/>
                <w:szCs w:val="20"/>
                <w:lang w:eastAsia="en-GB"/>
              </w:rPr>
              <w:t xml:space="preserve">Providing additional pastoral support to families, </w:t>
            </w:r>
          </w:p>
          <w:p w:rsidR="00A63EA8" w:rsidRPr="00A63EA8" w:rsidRDefault="00A63EA8" w:rsidP="00847FF5">
            <w:pPr>
              <w:rPr>
                <w:rFonts w:ascii="Arial" w:eastAsia="Times New Roman" w:hAnsi="Arial" w:cs="Arial"/>
                <w:color w:val="686464"/>
                <w:sz w:val="20"/>
                <w:szCs w:val="20"/>
                <w:lang w:eastAsia="en-GB"/>
              </w:rPr>
            </w:pPr>
            <w:r w:rsidRPr="00A63EA8">
              <w:rPr>
                <w:rFonts w:ascii="Arial" w:eastAsia="Times New Roman" w:hAnsi="Arial" w:cs="Arial"/>
                <w:color w:val="686464"/>
                <w:sz w:val="20"/>
                <w:szCs w:val="20"/>
                <w:lang w:eastAsia="en-GB"/>
              </w:rPr>
              <w:t xml:space="preserve">Additional pastoral support to families and pupils </w:t>
            </w:r>
          </w:p>
          <w:p w:rsidR="00A63EA8" w:rsidRPr="00A63EA8" w:rsidRDefault="00A63EA8" w:rsidP="00847FF5">
            <w:pPr>
              <w:rPr>
                <w:rFonts w:ascii="Arial" w:eastAsiaTheme="minorEastAsia" w:hAnsi="Arial" w:cs="Arial"/>
                <w:sz w:val="20"/>
                <w:szCs w:val="20"/>
                <w:lang w:val="en-US" w:eastAsia="ja-JP"/>
              </w:rPr>
            </w:pPr>
            <w:r w:rsidRPr="00A63EA8">
              <w:rPr>
                <w:rFonts w:ascii="Arial" w:eastAsia="Times New Roman" w:hAnsi="Arial" w:cs="Arial"/>
                <w:color w:val="686464"/>
                <w:sz w:val="20"/>
                <w:szCs w:val="20"/>
                <w:lang w:eastAsia="en-GB"/>
              </w:rPr>
              <w:t xml:space="preserve">Wellbeing activities such as yoga </w:t>
            </w:r>
          </w:p>
        </w:tc>
        <w:tc>
          <w:tcPr>
            <w:tcW w:w="4504" w:type="dxa"/>
          </w:tcPr>
          <w:p w:rsidR="00A63EA8" w:rsidRPr="00A63EA8" w:rsidRDefault="00A63EA8" w:rsidP="00847FF5">
            <w:pPr>
              <w:rPr>
                <w:rFonts w:ascii="Arial" w:eastAsiaTheme="minorEastAsia" w:hAnsi="Arial" w:cs="Arial"/>
                <w:sz w:val="20"/>
                <w:szCs w:val="20"/>
                <w:lang w:val="en-US" w:eastAsia="ja-JP"/>
              </w:rPr>
            </w:pPr>
            <w:r w:rsidRPr="00A63EA8">
              <w:rPr>
                <w:rFonts w:ascii="Arial" w:hAnsi="Arial" w:cs="Arial"/>
                <w:sz w:val="20"/>
                <w:szCs w:val="20"/>
              </w:rPr>
              <w:t>Parents have played a key role in supporting children to learn at home and it will be essential that schools and families continue to work together as pupils return to school. Schools have provided extensive pastoral support to pupils and families throughout the pandemic. Additional support in the new school year could focus on providing regular and supportive communications with parents, especially to increase attendance and engagement with learning</w:t>
            </w:r>
            <w:proofErr w:type="gramStart"/>
            <w:r w:rsidRPr="00A63EA8">
              <w:rPr>
                <w:rFonts w:ascii="Arial" w:hAnsi="Arial" w:cs="Arial"/>
                <w:sz w:val="20"/>
                <w:szCs w:val="20"/>
              </w:rPr>
              <w:t>..</w:t>
            </w:r>
            <w:proofErr w:type="gramEnd"/>
          </w:p>
        </w:tc>
        <w:tc>
          <w:tcPr>
            <w:tcW w:w="1166" w:type="dxa"/>
          </w:tcPr>
          <w:p w:rsidR="00A63EA8" w:rsidRPr="00A63EA8" w:rsidRDefault="00A63EA8"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£300</w:t>
            </w:r>
          </w:p>
        </w:tc>
        <w:tc>
          <w:tcPr>
            <w:tcW w:w="2835" w:type="dxa"/>
          </w:tcPr>
          <w:p w:rsidR="00A63EA8" w:rsidRPr="00A63EA8" w:rsidRDefault="00A63EA8" w:rsidP="00C51C82">
            <w:pPr>
              <w:rPr>
                <w:rFonts w:ascii="Arial" w:eastAsiaTheme="minorEastAsia" w:hAnsi="Arial" w:cs="Arial"/>
                <w:sz w:val="20"/>
                <w:szCs w:val="20"/>
                <w:lang w:val="en-US" w:eastAsia="ja-JP"/>
              </w:rPr>
            </w:pPr>
            <w:r w:rsidRPr="00A63EA8">
              <w:rPr>
                <w:rFonts w:ascii="Arial" w:eastAsiaTheme="minorEastAsia" w:hAnsi="Arial" w:cs="Arial"/>
                <w:sz w:val="20"/>
                <w:szCs w:val="20"/>
                <w:lang w:val="en-US" w:eastAsia="ja-JP"/>
              </w:rPr>
              <w:t xml:space="preserve">Wellbeing , family support addressed at early stages </w:t>
            </w:r>
          </w:p>
          <w:p w:rsidR="00A63EA8" w:rsidRPr="00A63EA8" w:rsidRDefault="00A63EA8" w:rsidP="00A63EA8">
            <w:pPr>
              <w:numPr>
                <w:ilvl w:val="0"/>
                <w:numId w:val="30"/>
              </w:numPr>
              <w:ind w:left="0"/>
              <w:jc w:val="both"/>
              <w:textAlignment w:val="top"/>
              <w:rPr>
                <w:rFonts w:ascii="Arial" w:eastAsia="Times New Roman" w:hAnsi="Arial" w:cs="Arial"/>
                <w:color w:val="000000"/>
                <w:sz w:val="20"/>
                <w:szCs w:val="20"/>
                <w:lang w:val="en-US"/>
              </w:rPr>
            </w:pPr>
            <w:r w:rsidRPr="00A63EA8">
              <w:rPr>
                <w:rFonts w:ascii="Arial" w:eastAsia="Times New Roman" w:hAnsi="Arial" w:cs="Arial"/>
                <w:iCs/>
                <w:color w:val="000000"/>
                <w:sz w:val="20"/>
                <w:szCs w:val="20"/>
                <w:lang w:val="en-US"/>
              </w:rPr>
              <w:t>The mental health needs of pupils are met and supported by the school.</w:t>
            </w:r>
          </w:p>
          <w:p w:rsidR="00A63EA8" w:rsidRPr="00A63EA8" w:rsidRDefault="00A63EA8" w:rsidP="00C51C82">
            <w:pPr>
              <w:rPr>
                <w:rFonts w:ascii="Arial" w:eastAsiaTheme="minorEastAsia" w:hAnsi="Arial" w:cs="Arial"/>
                <w:sz w:val="20"/>
                <w:szCs w:val="20"/>
                <w:lang w:val="en-US" w:eastAsia="ja-JP"/>
              </w:rPr>
            </w:pPr>
          </w:p>
        </w:tc>
      </w:tr>
    </w:tbl>
    <w:p w:rsidR="0049725A" w:rsidRPr="00A63EA8" w:rsidRDefault="0049725A" w:rsidP="00C51C82">
      <w:pPr>
        <w:rPr>
          <w:rFonts w:ascii="Arial" w:eastAsiaTheme="minorEastAsia" w:hAnsi="Arial" w:cs="Arial"/>
          <w:b/>
          <w:sz w:val="24"/>
          <w:szCs w:val="24"/>
          <w:lang w:val="en-US" w:eastAsia="ja-JP"/>
        </w:rPr>
      </w:pPr>
    </w:p>
    <w:p w:rsidR="00D655E3" w:rsidRPr="00397A2F" w:rsidRDefault="00D655E3" w:rsidP="0009745F">
      <w:pPr>
        <w:spacing w:before="120" w:after="0"/>
        <w:rPr>
          <w:rFonts w:ascii="Arial" w:hAnsi="Arial" w:cs="Arial"/>
          <w:b/>
          <w:lang w:val="en-US" w:eastAsia="ja-JP"/>
        </w:rPr>
      </w:pPr>
    </w:p>
    <w:p w:rsidR="00F42E37" w:rsidRDefault="00F42E37" w:rsidP="0009745F">
      <w:pPr>
        <w:spacing w:after="120"/>
        <w:rPr>
          <w:rFonts w:ascii="Arial" w:hAnsi="Arial" w:cs="Arial"/>
          <w:b/>
          <w:sz w:val="32"/>
          <w:highlight w:val="yellow"/>
          <w:lang w:val="en-US" w:eastAsia="ja-JP"/>
        </w:rPr>
      </w:pPr>
    </w:p>
    <w:p w:rsidR="00F42E37" w:rsidRPr="00F42E37" w:rsidRDefault="00F42E37" w:rsidP="0009745F">
      <w:pPr>
        <w:spacing w:after="120"/>
        <w:rPr>
          <w:rFonts w:ascii="Arial" w:hAnsi="Arial" w:cs="Arial"/>
          <w:b/>
          <w:sz w:val="32"/>
          <w:lang w:val="en-US" w:eastAsia="ja-JP"/>
        </w:rPr>
      </w:pPr>
    </w:p>
    <w:p w:rsidR="005D2D5A" w:rsidRDefault="005D2D5A" w:rsidP="005B7ED6">
      <w:pPr>
        <w:spacing w:before="120" w:after="120"/>
        <w:rPr>
          <w:rFonts w:ascii="Arial" w:eastAsiaTheme="minorEastAsia" w:hAnsi="Arial" w:cs="Arial"/>
          <w:b/>
          <w:lang w:val="en-US" w:eastAsia="ja-JP"/>
        </w:rPr>
      </w:pPr>
    </w:p>
    <w:p w:rsidR="005D2D5A" w:rsidRDefault="005D2D5A" w:rsidP="00C51C82">
      <w:pPr>
        <w:rPr>
          <w:rFonts w:ascii="Arial" w:eastAsiaTheme="minorEastAsia" w:hAnsi="Arial" w:cs="Arial"/>
          <w:b/>
          <w:lang w:val="en-US" w:eastAsia="ja-JP"/>
        </w:rPr>
      </w:pPr>
    </w:p>
    <w:sectPr w:rsidR="005D2D5A" w:rsidSect="00EE4A72">
      <w:footerReference w:type="default" r:id="rId10"/>
      <w:footerReference w:type="first" r:id="rId11"/>
      <w:pgSz w:w="16838" w:h="11906" w:orient="landscape"/>
      <w:pgMar w:top="-1297" w:right="1440" w:bottom="709" w:left="1440" w:header="0" w:footer="1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444" w:rsidRDefault="00E61444">
      <w:pPr>
        <w:spacing w:after="0" w:line="240" w:lineRule="auto"/>
      </w:pPr>
      <w:r>
        <w:separator/>
      </w:r>
    </w:p>
  </w:endnote>
  <w:endnote w:type="continuationSeparator" w:id="1">
    <w:p w:rsidR="00E61444" w:rsidRDefault="00E61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44" w:rsidRPr="00EE4A72" w:rsidRDefault="00E61444">
    <w:pPr>
      <w:pStyle w:val="Footer"/>
      <w:rPr>
        <w:rFonts w:ascii="Arial" w:hAnsi="Arial" w:cs="Arial"/>
        <w:sz w:val="20"/>
      </w:rPr>
    </w:pPr>
    <w:r w:rsidRPr="00EE4A72">
      <w:rPr>
        <w:rFonts w:ascii="Arial" w:hAnsi="Arial" w:cs="Arial"/>
        <w:sz w:val="20"/>
      </w:rPr>
      <w:t xml:space="preserve">Last updated: </w:t>
    </w:r>
    <w:r>
      <w:rPr>
        <w:rFonts w:ascii="Arial" w:hAnsi="Arial" w:cs="Arial"/>
        <w:sz w:val="20"/>
      </w:rPr>
      <w:t>23 November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44" w:rsidRPr="00EE4A72" w:rsidRDefault="00E61444" w:rsidP="00EE4A72">
    <w:pPr>
      <w:pStyle w:val="Footer"/>
      <w:rPr>
        <w:rFonts w:ascii="Arial" w:hAnsi="Arial" w:cs="Arial"/>
        <w:sz w:val="20"/>
      </w:rPr>
    </w:pPr>
    <w:r w:rsidRPr="00EE4A72">
      <w:rPr>
        <w:rFonts w:ascii="Arial" w:hAnsi="Arial" w:cs="Arial"/>
        <w:sz w:val="20"/>
      </w:rPr>
      <w:t xml:space="preserve">Last updated: </w:t>
    </w:r>
    <w:r>
      <w:rPr>
        <w:rFonts w:ascii="Arial" w:hAnsi="Arial" w:cs="Arial"/>
        <w:sz w:val="20"/>
      </w:rPr>
      <w:t>23 November 2020</w:t>
    </w:r>
  </w:p>
  <w:p w:rsidR="00E61444" w:rsidRDefault="00E61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444" w:rsidRDefault="00E61444">
      <w:pPr>
        <w:spacing w:after="0" w:line="240" w:lineRule="auto"/>
      </w:pPr>
      <w:r>
        <w:separator/>
      </w:r>
    </w:p>
  </w:footnote>
  <w:footnote w:type="continuationSeparator" w:id="1">
    <w:p w:rsidR="00E61444" w:rsidRDefault="00E61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F44B44"/>
    <w:multiLevelType w:val="multilevel"/>
    <w:tmpl w:val="7F04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A1820"/>
    <w:multiLevelType w:val="multilevel"/>
    <w:tmpl w:val="5E5E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D7E62"/>
    <w:multiLevelType w:val="multilevel"/>
    <w:tmpl w:val="7D92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FE023D2"/>
    <w:multiLevelType w:val="multilevel"/>
    <w:tmpl w:val="B320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5">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4FC5640"/>
    <w:multiLevelType w:val="multilevel"/>
    <w:tmpl w:val="33DA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4">
    <w:nsid w:val="6CA95E25"/>
    <w:multiLevelType w:val="multilevel"/>
    <w:tmpl w:val="1284D1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4A7CE6"/>
    <w:multiLevelType w:val="multilevel"/>
    <w:tmpl w:val="9AF8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9"/>
  </w:num>
  <w:num w:numId="4">
    <w:abstractNumId w:val="0"/>
  </w:num>
  <w:num w:numId="5">
    <w:abstractNumId w:val="12"/>
  </w:num>
  <w:num w:numId="6">
    <w:abstractNumId w:val="7"/>
  </w:num>
  <w:num w:numId="7">
    <w:abstractNumId w:val="28"/>
  </w:num>
  <w:num w:numId="8">
    <w:abstractNumId w:val="17"/>
  </w:num>
  <w:num w:numId="9">
    <w:abstractNumId w:val="9"/>
  </w:num>
  <w:num w:numId="10">
    <w:abstractNumId w:val="18"/>
  </w:num>
  <w:num w:numId="11">
    <w:abstractNumId w:val="2"/>
  </w:num>
  <w:num w:numId="12">
    <w:abstractNumId w:val="20"/>
  </w:num>
  <w:num w:numId="13">
    <w:abstractNumId w:val="3"/>
  </w:num>
  <w:num w:numId="14">
    <w:abstractNumId w:val="27"/>
  </w:num>
  <w:num w:numId="15">
    <w:abstractNumId w:val="11"/>
  </w:num>
  <w:num w:numId="16">
    <w:abstractNumId w:val="25"/>
  </w:num>
  <w:num w:numId="17">
    <w:abstractNumId w:val="22"/>
  </w:num>
  <w:num w:numId="18">
    <w:abstractNumId w:val="29"/>
  </w:num>
  <w:num w:numId="19">
    <w:abstractNumId w:val="1"/>
  </w:num>
  <w:num w:numId="20">
    <w:abstractNumId w:val="23"/>
  </w:num>
  <w:num w:numId="21">
    <w:abstractNumId w:val="14"/>
  </w:num>
  <w:num w:numId="22">
    <w:abstractNumId w:val="16"/>
  </w:num>
  <w:num w:numId="23">
    <w:abstractNumId w:val="8"/>
  </w:num>
  <w:num w:numId="24">
    <w:abstractNumId w:val="24"/>
  </w:num>
  <w:num w:numId="25">
    <w:abstractNumId w:val="6"/>
  </w:num>
  <w:num w:numId="26">
    <w:abstractNumId w:val="21"/>
  </w:num>
  <w:num w:numId="27">
    <w:abstractNumId w:val="5"/>
  </w:num>
  <w:num w:numId="28">
    <w:abstractNumId w:val="4"/>
  </w:num>
  <w:num w:numId="29">
    <w:abstractNumId w:val="2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E1t7C0MDMxNDK3MLJQ0lEKTi0uzszPAymwqAUAWhPbLiwAAAA="/>
  </w:docVars>
  <w:rsids>
    <w:rsidRoot w:val="00DB03FE"/>
    <w:rsid w:val="0000090C"/>
    <w:rsid w:val="0002480D"/>
    <w:rsid w:val="00027DE8"/>
    <w:rsid w:val="00047A11"/>
    <w:rsid w:val="0005295A"/>
    <w:rsid w:val="00057C93"/>
    <w:rsid w:val="000710D0"/>
    <w:rsid w:val="00072DD2"/>
    <w:rsid w:val="0009745F"/>
    <w:rsid w:val="000A2E33"/>
    <w:rsid w:val="000A3370"/>
    <w:rsid w:val="000A4E01"/>
    <w:rsid w:val="000A7162"/>
    <w:rsid w:val="000C1D1C"/>
    <w:rsid w:val="000C6EC1"/>
    <w:rsid w:val="000D798B"/>
    <w:rsid w:val="000F4480"/>
    <w:rsid w:val="000F69FB"/>
    <w:rsid w:val="00104837"/>
    <w:rsid w:val="00123DBB"/>
    <w:rsid w:val="001546AB"/>
    <w:rsid w:val="0015764B"/>
    <w:rsid w:val="00167476"/>
    <w:rsid w:val="00172989"/>
    <w:rsid w:val="001746AC"/>
    <w:rsid w:val="00176E0D"/>
    <w:rsid w:val="00177FA2"/>
    <w:rsid w:val="001913C0"/>
    <w:rsid w:val="00196A53"/>
    <w:rsid w:val="00196B7F"/>
    <w:rsid w:val="001A0E7D"/>
    <w:rsid w:val="001A5D4C"/>
    <w:rsid w:val="001B2C7C"/>
    <w:rsid w:val="001B5F18"/>
    <w:rsid w:val="001C25A0"/>
    <w:rsid w:val="001D08FF"/>
    <w:rsid w:val="001D12A2"/>
    <w:rsid w:val="001E5A0B"/>
    <w:rsid w:val="001F3ED6"/>
    <w:rsid w:val="0020305A"/>
    <w:rsid w:val="00211E98"/>
    <w:rsid w:val="00222902"/>
    <w:rsid w:val="00224BEE"/>
    <w:rsid w:val="002401A8"/>
    <w:rsid w:val="00254713"/>
    <w:rsid w:val="002602A1"/>
    <w:rsid w:val="00264EDA"/>
    <w:rsid w:val="002745D7"/>
    <w:rsid w:val="0027740A"/>
    <w:rsid w:val="00281381"/>
    <w:rsid w:val="00296D12"/>
    <w:rsid w:val="002A3A91"/>
    <w:rsid w:val="002B0429"/>
    <w:rsid w:val="002B4BCC"/>
    <w:rsid w:val="002B53F1"/>
    <w:rsid w:val="002B6AD9"/>
    <w:rsid w:val="002B736B"/>
    <w:rsid w:val="002C6D35"/>
    <w:rsid w:val="002E0471"/>
    <w:rsid w:val="002E094B"/>
    <w:rsid w:val="00312013"/>
    <w:rsid w:val="003120AA"/>
    <w:rsid w:val="003156C8"/>
    <w:rsid w:val="00315A4B"/>
    <w:rsid w:val="00316C1F"/>
    <w:rsid w:val="00326A3F"/>
    <w:rsid w:val="00326BE6"/>
    <w:rsid w:val="00341EBC"/>
    <w:rsid w:val="00343A9B"/>
    <w:rsid w:val="0034672C"/>
    <w:rsid w:val="003513ED"/>
    <w:rsid w:val="0035665F"/>
    <w:rsid w:val="00362D66"/>
    <w:rsid w:val="00397A2F"/>
    <w:rsid w:val="003A09F5"/>
    <w:rsid w:val="003A7483"/>
    <w:rsid w:val="003B65D6"/>
    <w:rsid w:val="003C4E74"/>
    <w:rsid w:val="003E4F93"/>
    <w:rsid w:val="003E6933"/>
    <w:rsid w:val="00400AD1"/>
    <w:rsid w:val="00404C6A"/>
    <w:rsid w:val="00415BA3"/>
    <w:rsid w:val="004220BC"/>
    <w:rsid w:val="004334ED"/>
    <w:rsid w:val="004337CF"/>
    <w:rsid w:val="00434AF1"/>
    <w:rsid w:val="00441053"/>
    <w:rsid w:val="00443EB0"/>
    <w:rsid w:val="00456364"/>
    <w:rsid w:val="00457733"/>
    <w:rsid w:val="004657D4"/>
    <w:rsid w:val="00472C85"/>
    <w:rsid w:val="00477ED1"/>
    <w:rsid w:val="00486910"/>
    <w:rsid w:val="00493D61"/>
    <w:rsid w:val="0049725A"/>
    <w:rsid w:val="004A2C3D"/>
    <w:rsid w:val="004B6331"/>
    <w:rsid w:val="004B7E0E"/>
    <w:rsid w:val="004C5B4C"/>
    <w:rsid w:val="004E0634"/>
    <w:rsid w:val="004E6D9E"/>
    <w:rsid w:val="004E708D"/>
    <w:rsid w:val="004F63AD"/>
    <w:rsid w:val="00516206"/>
    <w:rsid w:val="005308B1"/>
    <w:rsid w:val="00535498"/>
    <w:rsid w:val="00554B59"/>
    <w:rsid w:val="005974E0"/>
    <w:rsid w:val="005A2B4E"/>
    <w:rsid w:val="005B7ED6"/>
    <w:rsid w:val="005C2739"/>
    <w:rsid w:val="005C7463"/>
    <w:rsid w:val="005D1FEB"/>
    <w:rsid w:val="005D2D5A"/>
    <w:rsid w:val="005E766D"/>
    <w:rsid w:val="00615243"/>
    <w:rsid w:val="0062425D"/>
    <w:rsid w:val="00636257"/>
    <w:rsid w:val="00646E93"/>
    <w:rsid w:val="00662D9F"/>
    <w:rsid w:val="00664F7D"/>
    <w:rsid w:val="00687221"/>
    <w:rsid w:val="0069102D"/>
    <w:rsid w:val="0069333A"/>
    <w:rsid w:val="00695072"/>
    <w:rsid w:val="00697975"/>
    <w:rsid w:val="006A4B7A"/>
    <w:rsid w:val="006A4BEF"/>
    <w:rsid w:val="006B2EB7"/>
    <w:rsid w:val="006B6A19"/>
    <w:rsid w:val="006E7862"/>
    <w:rsid w:val="006F7C1B"/>
    <w:rsid w:val="00703AE2"/>
    <w:rsid w:val="0071094B"/>
    <w:rsid w:val="00727AD4"/>
    <w:rsid w:val="00730E4A"/>
    <w:rsid w:val="00741DC0"/>
    <w:rsid w:val="00751875"/>
    <w:rsid w:val="00773FB3"/>
    <w:rsid w:val="00774724"/>
    <w:rsid w:val="00780103"/>
    <w:rsid w:val="007B7FA8"/>
    <w:rsid w:val="007C4734"/>
    <w:rsid w:val="007D7786"/>
    <w:rsid w:val="007F76CF"/>
    <w:rsid w:val="008072C8"/>
    <w:rsid w:val="00810D18"/>
    <w:rsid w:val="008153CC"/>
    <w:rsid w:val="0081758B"/>
    <w:rsid w:val="0082625A"/>
    <w:rsid w:val="00836D31"/>
    <w:rsid w:val="00847FF5"/>
    <w:rsid w:val="0086321A"/>
    <w:rsid w:val="00864FF8"/>
    <w:rsid w:val="008701BE"/>
    <w:rsid w:val="008816AC"/>
    <w:rsid w:val="0089264A"/>
    <w:rsid w:val="008932C7"/>
    <w:rsid w:val="008A0C76"/>
    <w:rsid w:val="008B002C"/>
    <w:rsid w:val="008B1C63"/>
    <w:rsid w:val="008B292C"/>
    <w:rsid w:val="008C08A1"/>
    <w:rsid w:val="008E422E"/>
    <w:rsid w:val="008E423A"/>
    <w:rsid w:val="008E5934"/>
    <w:rsid w:val="008E6F6A"/>
    <w:rsid w:val="008F04CA"/>
    <w:rsid w:val="008F477C"/>
    <w:rsid w:val="00900428"/>
    <w:rsid w:val="00931FA5"/>
    <w:rsid w:val="00935914"/>
    <w:rsid w:val="00935F9D"/>
    <w:rsid w:val="00950DAB"/>
    <w:rsid w:val="0096429D"/>
    <w:rsid w:val="009651D2"/>
    <w:rsid w:val="00971E50"/>
    <w:rsid w:val="00981285"/>
    <w:rsid w:val="00984119"/>
    <w:rsid w:val="009A60A7"/>
    <w:rsid w:val="009A773D"/>
    <w:rsid w:val="009B083B"/>
    <w:rsid w:val="009B65BF"/>
    <w:rsid w:val="009B7A32"/>
    <w:rsid w:val="009C2AB5"/>
    <w:rsid w:val="009C2C47"/>
    <w:rsid w:val="009E1AB7"/>
    <w:rsid w:val="009E5342"/>
    <w:rsid w:val="00A01509"/>
    <w:rsid w:val="00A030AC"/>
    <w:rsid w:val="00A05CFF"/>
    <w:rsid w:val="00A078C5"/>
    <w:rsid w:val="00A16366"/>
    <w:rsid w:val="00A24815"/>
    <w:rsid w:val="00A3070D"/>
    <w:rsid w:val="00A35222"/>
    <w:rsid w:val="00A50503"/>
    <w:rsid w:val="00A63EA8"/>
    <w:rsid w:val="00A73658"/>
    <w:rsid w:val="00A7418D"/>
    <w:rsid w:val="00A7588B"/>
    <w:rsid w:val="00A87F3C"/>
    <w:rsid w:val="00AB3317"/>
    <w:rsid w:val="00AB6213"/>
    <w:rsid w:val="00AC2F87"/>
    <w:rsid w:val="00AC6681"/>
    <w:rsid w:val="00AD6423"/>
    <w:rsid w:val="00AE1BC4"/>
    <w:rsid w:val="00AE6678"/>
    <w:rsid w:val="00AE6C59"/>
    <w:rsid w:val="00AE7150"/>
    <w:rsid w:val="00B01CD8"/>
    <w:rsid w:val="00B13F6E"/>
    <w:rsid w:val="00B2042D"/>
    <w:rsid w:val="00B26852"/>
    <w:rsid w:val="00B2760E"/>
    <w:rsid w:val="00B353D4"/>
    <w:rsid w:val="00B4574E"/>
    <w:rsid w:val="00B56314"/>
    <w:rsid w:val="00B63C94"/>
    <w:rsid w:val="00B73B07"/>
    <w:rsid w:val="00B81871"/>
    <w:rsid w:val="00B8517B"/>
    <w:rsid w:val="00B86872"/>
    <w:rsid w:val="00BA1700"/>
    <w:rsid w:val="00BB359E"/>
    <w:rsid w:val="00BC6F0B"/>
    <w:rsid w:val="00BC776D"/>
    <w:rsid w:val="00BE6F40"/>
    <w:rsid w:val="00BF3E6F"/>
    <w:rsid w:val="00C04218"/>
    <w:rsid w:val="00C047A7"/>
    <w:rsid w:val="00C07469"/>
    <w:rsid w:val="00C26FC4"/>
    <w:rsid w:val="00C323B1"/>
    <w:rsid w:val="00C4374C"/>
    <w:rsid w:val="00C47987"/>
    <w:rsid w:val="00C500E5"/>
    <w:rsid w:val="00C51C82"/>
    <w:rsid w:val="00C614AF"/>
    <w:rsid w:val="00C67451"/>
    <w:rsid w:val="00C80954"/>
    <w:rsid w:val="00C85477"/>
    <w:rsid w:val="00CA66B9"/>
    <w:rsid w:val="00CB6207"/>
    <w:rsid w:val="00CC0229"/>
    <w:rsid w:val="00CD6D66"/>
    <w:rsid w:val="00CE391F"/>
    <w:rsid w:val="00CE6F83"/>
    <w:rsid w:val="00D0517C"/>
    <w:rsid w:val="00D1125F"/>
    <w:rsid w:val="00D127CB"/>
    <w:rsid w:val="00D20474"/>
    <w:rsid w:val="00D323CB"/>
    <w:rsid w:val="00D42CDC"/>
    <w:rsid w:val="00D47FE1"/>
    <w:rsid w:val="00D54920"/>
    <w:rsid w:val="00D6239F"/>
    <w:rsid w:val="00D63B77"/>
    <w:rsid w:val="00D655E3"/>
    <w:rsid w:val="00D66B24"/>
    <w:rsid w:val="00D809AA"/>
    <w:rsid w:val="00D8454F"/>
    <w:rsid w:val="00D86F63"/>
    <w:rsid w:val="00D96451"/>
    <w:rsid w:val="00DB03FE"/>
    <w:rsid w:val="00DD2AE2"/>
    <w:rsid w:val="00DD4E2B"/>
    <w:rsid w:val="00E0057A"/>
    <w:rsid w:val="00E261AB"/>
    <w:rsid w:val="00E2639F"/>
    <w:rsid w:val="00E27E58"/>
    <w:rsid w:val="00E568C2"/>
    <w:rsid w:val="00E60D6C"/>
    <w:rsid w:val="00E61444"/>
    <w:rsid w:val="00E70C1C"/>
    <w:rsid w:val="00E75937"/>
    <w:rsid w:val="00E75FCF"/>
    <w:rsid w:val="00E9003A"/>
    <w:rsid w:val="00E90F63"/>
    <w:rsid w:val="00E9308B"/>
    <w:rsid w:val="00E946AB"/>
    <w:rsid w:val="00E96221"/>
    <w:rsid w:val="00EA758F"/>
    <w:rsid w:val="00EB3A86"/>
    <w:rsid w:val="00EB426B"/>
    <w:rsid w:val="00EB44E1"/>
    <w:rsid w:val="00EB4F3D"/>
    <w:rsid w:val="00EB71E2"/>
    <w:rsid w:val="00EC199D"/>
    <w:rsid w:val="00EC642C"/>
    <w:rsid w:val="00ED466E"/>
    <w:rsid w:val="00EE4A72"/>
    <w:rsid w:val="00EE4CAE"/>
    <w:rsid w:val="00F016F6"/>
    <w:rsid w:val="00F07941"/>
    <w:rsid w:val="00F11F11"/>
    <w:rsid w:val="00F12473"/>
    <w:rsid w:val="00F13FCC"/>
    <w:rsid w:val="00F16F44"/>
    <w:rsid w:val="00F23198"/>
    <w:rsid w:val="00F32AEA"/>
    <w:rsid w:val="00F42E37"/>
    <w:rsid w:val="00F4486E"/>
    <w:rsid w:val="00F47D95"/>
    <w:rsid w:val="00F704C8"/>
    <w:rsid w:val="00F71E3A"/>
    <w:rsid w:val="00F74C12"/>
    <w:rsid w:val="00F7500F"/>
    <w:rsid w:val="00F75C5D"/>
    <w:rsid w:val="00F95195"/>
    <w:rsid w:val="00FA42EB"/>
    <w:rsid w:val="00FA75BE"/>
    <w:rsid w:val="00FB15B8"/>
    <w:rsid w:val="00FB57B2"/>
    <w:rsid w:val="00FC2876"/>
    <w:rsid w:val="00FD3839"/>
    <w:rsid w:val="00FE2B58"/>
    <w:rsid w:val="00FE5DE3"/>
    <w:rsid w:val="00FF1F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FE"/>
  </w:style>
  <w:style w:type="paragraph" w:styleId="Heading1">
    <w:name w:val="heading 1"/>
    <w:basedOn w:val="Normal"/>
    <w:next w:val="Normal"/>
    <w:link w:val="Heading1Char"/>
    <w:uiPriority w:val="9"/>
    <w:qFormat/>
    <w:rsid w:val="00D809AA"/>
    <w:pPr>
      <w:keepNext/>
      <w:keepLines/>
      <w:spacing w:before="240" w:after="0"/>
      <w:outlineLvl w:val="0"/>
    </w:pPr>
    <w:rPr>
      <w:rFonts w:asciiTheme="majorHAnsi" w:eastAsiaTheme="majorEastAsia" w:hAnsiTheme="majorHAnsi" w:cstheme="majorBidi"/>
      <w:color w:val="2F2F3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customStyle="1" w:styleId="Heading1Char">
    <w:name w:val="Heading 1 Char"/>
    <w:basedOn w:val="DefaultParagraphFont"/>
    <w:link w:val="Heading1"/>
    <w:uiPriority w:val="9"/>
    <w:rsid w:val="00D809AA"/>
    <w:rPr>
      <w:rFonts w:asciiTheme="majorHAnsi" w:eastAsiaTheme="majorEastAsia" w:hAnsiTheme="majorHAnsi" w:cstheme="majorBidi"/>
      <w:color w:val="2F2F30" w:themeColor="accent1" w:themeShade="BF"/>
      <w:sz w:val="32"/>
      <w:szCs w:val="32"/>
    </w:rPr>
  </w:style>
  <w:style w:type="character" w:customStyle="1" w:styleId="UnresolvedMention">
    <w:name w:val="Unresolved Mention"/>
    <w:basedOn w:val="DefaultParagraphFont"/>
    <w:uiPriority w:val="99"/>
    <w:semiHidden/>
    <w:unhideWhenUsed/>
    <w:rsid w:val="00BC6F0B"/>
    <w:rPr>
      <w:color w:val="605E5C"/>
      <w:shd w:val="clear" w:color="auto" w:fill="E1DFDD"/>
    </w:rPr>
  </w:style>
  <w:style w:type="paragraph" w:styleId="Revision">
    <w:name w:val="Revision"/>
    <w:hidden/>
    <w:uiPriority w:val="99"/>
    <w:semiHidden/>
    <w:rsid w:val="005B7ED6"/>
    <w:pPr>
      <w:spacing w:after="0" w:line="240" w:lineRule="auto"/>
    </w:pPr>
  </w:style>
  <w:style w:type="paragraph" w:styleId="NormalWeb">
    <w:name w:val="Normal (Web)"/>
    <w:basedOn w:val="Normal"/>
    <w:uiPriority w:val="99"/>
    <w:semiHidden/>
    <w:unhideWhenUsed/>
    <w:rsid w:val="00072D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1871"/>
    <w:rPr>
      <w:i/>
      <w:iCs/>
    </w:rPr>
  </w:style>
</w:styles>
</file>

<file path=word/webSettings.xml><?xml version="1.0" encoding="utf-8"?>
<w:webSettings xmlns:r="http://schemas.openxmlformats.org/officeDocument/2006/relationships" xmlns:w="http://schemas.openxmlformats.org/wordprocessingml/2006/main">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462505452">
      <w:bodyDiv w:val="1"/>
      <w:marLeft w:val="0"/>
      <w:marRight w:val="0"/>
      <w:marTop w:val="0"/>
      <w:marBottom w:val="0"/>
      <w:divBdr>
        <w:top w:val="none" w:sz="0" w:space="0" w:color="auto"/>
        <w:left w:val="none" w:sz="0" w:space="0" w:color="auto"/>
        <w:bottom w:val="none" w:sz="0" w:space="0" w:color="auto"/>
        <w:right w:val="none" w:sz="0" w:space="0" w:color="auto"/>
      </w:divBdr>
    </w:div>
    <w:div w:id="552154891">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026055440">
      <w:bodyDiv w:val="1"/>
      <w:marLeft w:val="0"/>
      <w:marRight w:val="0"/>
      <w:marTop w:val="0"/>
      <w:marBottom w:val="0"/>
      <w:divBdr>
        <w:top w:val="none" w:sz="0" w:space="0" w:color="auto"/>
        <w:left w:val="none" w:sz="0" w:space="0" w:color="auto"/>
        <w:bottom w:val="none" w:sz="0" w:space="0" w:color="auto"/>
        <w:right w:val="none" w:sz="0" w:space="0" w:color="auto"/>
      </w:divBdr>
    </w:div>
    <w:div w:id="129128444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857965912">
      <w:bodyDiv w:val="1"/>
      <w:marLeft w:val="0"/>
      <w:marRight w:val="0"/>
      <w:marTop w:val="0"/>
      <w:marBottom w:val="0"/>
      <w:divBdr>
        <w:top w:val="none" w:sz="0" w:space="0" w:color="auto"/>
        <w:left w:val="none" w:sz="0" w:space="0" w:color="auto"/>
        <w:bottom w:val="none" w:sz="0" w:space="0" w:color="auto"/>
        <w:right w:val="none" w:sz="0" w:space="0" w:color="auto"/>
      </w:divBdr>
    </w:div>
    <w:div w:id="1979459653">
      <w:bodyDiv w:val="1"/>
      <w:marLeft w:val="0"/>
      <w:marRight w:val="0"/>
      <w:marTop w:val="0"/>
      <w:marBottom w:val="0"/>
      <w:divBdr>
        <w:top w:val="none" w:sz="0" w:space="0" w:color="auto"/>
        <w:left w:val="none" w:sz="0" w:space="0" w:color="auto"/>
        <w:bottom w:val="none" w:sz="0" w:space="0" w:color="auto"/>
        <w:right w:val="none" w:sz="0" w:space="0" w:color="auto"/>
      </w:divBdr>
    </w:div>
    <w:div w:id="20490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tch-up-premium-coronavirus-covid-19/catch-up-premi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endowmentfoundation.org.uk/covid-19-resources/covid-19-support-guide-for-schools/#nav-covid-19-supportguide-for-schools1" TargetMode="External"/></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1D70-89A2-428B-9C19-4BB4C607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Needham</dc:creator>
  <cp:lastModifiedBy>jgoodman</cp:lastModifiedBy>
  <cp:revision>2</cp:revision>
  <dcterms:created xsi:type="dcterms:W3CDTF">2020-11-27T11:57:00Z</dcterms:created>
  <dcterms:modified xsi:type="dcterms:W3CDTF">2020-11-27T11:57:00Z</dcterms:modified>
</cp:coreProperties>
</file>